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6dmjsx90enst" w:id="0"/>
      <w:bookmarkEnd w:id="0"/>
      <w:r w:rsidDel="00000000" w:rsidR="00000000" w:rsidRPr="00000000">
        <w:rPr>
          <w:rtl w:val="0"/>
        </w:rPr>
        <w:t xml:space="preserve">Поіменні результати голосування депутатів на пленарних засіданнях органу місцевого самоврядування</w:t>
      </w:r>
    </w:p>
    <w:p w:rsidR="00000000" w:rsidDel="00000000" w:rsidP="00000000" w:rsidRDefault="00000000" w:rsidRPr="00000000" w14:paraId="00000002">
      <w:pPr>
        <w:pStyle w:val="Heading1"/>
        <w:rPr/>
      </w:pPr>
      <w:bookmarkStart w:colFirst="0" w:colLast="0" w:name="_bofex1sgdl18"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Характеристика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hyperlink r:id="rId6">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w:t>
            </w:r>
            <w:hyperlink r:id="rId7">
              <w:r w:rsidDel="00000000" w:rsidR="00000000" w:rsidRPr="00000000">
                <w:rPr>
                  <w:color w:val="1155cc"/>
                  <w:u w:val="single"/>
                  <w:rtl w:val="0"/>
                </w:rPr>
                <w:t xml:space="preserve">Закон України «Про доступ до публічної інформації» від 13.01.2011 № 2939-VI</w:t>
              </w:r>
            </w:hyperlink>
            <w:r w:rsidDel="00000000" w:rsidR="00000000" w:rsidRPr="00000000">
              <w:rPr>
                <w:rtl w:val="0"/>
              </w:rPr>
              <w:t xml:space="preserve">, регламенти органів місцевого самоврядування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Поіменні результати голосування депутатів є частиною протоколів засідань органів місцевого самоврядування й підлягають оприлюдненню відповідно до частини 3 статті 59 Закону України «Про місцеве самоврядування в Україні».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Проведення пленарних засідань</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XLSX, ODS, CSV, JSON, XML можливі інші формати структурованих даних</w:t>
            </w:r>
          </w:p>
        </w:tc>
      </w:tr>
    </w:tbl>
    <w:p w:rsidR="00000000" w:rsidDel="00000000" w:rsidP="00000000" w:rsidRDefault="00000000" w:rsidRPr="00000000" w14:paraId="00000011">
      <w:pPr>
        <w:pStyle w:val="Heading1"/>
        <w:rPr/>
      </w:pPr>
      <w:bookmarkStart w:colFirst="0" w:colLast="0" w:name="_84uouuevahpd"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rPr/>
      </w:pPr>
      <w:r w:rsidDel="00000000" w:rsidR="00000000" w:rsidRPr="00000000">
        <w:rPr>
          <w:rtl w:val="0"/>
        </w:rPr>
        <w:t xml:space="preserve">Відповідно до частини 3 статті 59 </w:t>
      </w:r>
      <w:hyperlink r:id="rId8">
        <w:r w:rsidDel="00000000" w:rsidR="00000000" w:rsidRPr="00000000">
          <w:rPr>
            <w:color w:val="1155cc"/>
            <w:u w:val="single"/>
            <w:rtl w:val="0"/>
          </w:rPr>
          <w:t xml:space="preserve">Закону України «Про місцеве самоврядування в Україні»</w:t>
        </w:r>
      </w:hyperlink>
      <w:r w:rsidDel="00000000" w:rsidR="00000000" w:rsidRPr="00000000">
        <w:rPr>
          <w:rtl w:val="0"/>
        </w:rPr>
        <w:t xml:space="preserve"> </w:t>
      </w:r>
      <w:r w:rsidDel="00000000" w:rsidR="00000000" w:rsidRPr="00000000">
        <w:rPr>
          <w:rtl w:val="0"/>
        </w:rPr>
        <w:t xml:space="preserve">результати поіменного голосування підлягають обов’язковому оприлюдненню та наданню за запитом на публічну інформацію. Всі результати поіменних голосувань публікуються на офіційному веб-сайті ради в день голосування й зберігаються протягом необмеженого строку.</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lr71w4mu5328"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5">
      <w:pPr>
        <w:spacing w:after="200" w:lineRule="auto"/>
        <w:rPr/>
      </w:pPr>
      <w:r w:rsidDel="00000000" w:rsidR="00000000" w:rsidRPr="00000000">
        <w:rPr>
          <w:rtl w:val="0"/>
        </w:rPr>
        <w:t xml:space="preserve">Як правило, органи місцевого самоврядування використовують програмне забезпечення, що дозволяє фіксувати поіменні результати голосування у цифровому форматі. Це, наприклад, </w:t>
      </w:r>
      <w:hyperlink r:id="rId9">
        <w:r w:rsidDel="00000000" w:rsidR="00000000" w:rsidRPr="00000000">
          <w:rPr>
            <w:color w:val="1155cc"/>
            <w:u w:val="single"/>
            <w:rtl w:val="0"/>
          </w:rPr>
          <w:t xml:space="preserve">електронна система голосування ПТК «ВІЧЕ»</w:t>
        </w:r>
      </w:hyperlink>
      <w:r w:rsidDel="00000000" w:rsidR="00000000" w:rsidRPr="00000000">
        <w:rPr>
          <w:rtl w:val="0"/>
        </w:rPr>
        <w:t xml:space="preserve">, </w:t>
      </w:r>
      <w:hyperlink r:id="rId10">
        <w:r w:rsidDel="00000000" w:rsidR="00000000" w:rsidRPr="00000000">
          <w:rPr>
            <w:color w:val="1155cc"/>
            <w:u w:val="single"/>
            <w:rtl w:val="0"/>
          </w:rPr>
          <w:t xml:space="preserve">система електронного голосування «ГОЛОС»</w:t>
        </w:r>
      </w:hyperlink>
      <w:r w:rsidDel="00000000" w:rsidR="00000000" w:rsidRPr="00000000">
        <w:rPr>
          <w:rtl w:val="0"/>
        </w:rPr>
        <w:t xml:space="preserve">, система «Рада». Для оприлюднення даних може використовуватись стандарт </w:t>
      </w:r>
      <w:hyperlink r:id="rId11">
        <w:r w:rsidDel="00000000" w:rsidR="00000000" w:rsidRPr="00000000">
          <w:rPr>
            <w:color w:val="1155cc"/>
            <w:u w:val="single"/>
            <w:rtl w:val="0"/>
          </w:rPr>
          <w:t xml:space="preserve">Popolo (International open government data specifications)</w:t>
        </w:r>
      </w:hyperlink>
      <w:r w:rsidDel="00000000" w:rsidR="00000000" w:rsidRPr="00000000">
        <w:rPr>
          <w:rtl w:val="0"/>
        </w:rPr>
        <w:t xml:space="preserve">. </w:t>
      </w:r>
    </w:p>
    <w:p w:rsidR="00000000" w:rsidDel="00000000" w:rsidP="00000000" w:rsidRDefault="00000000" w:rsidRPr="00000000" w14:paraId="00000016">
      <w:pPr>
        <w:spacing w:after="200" w:lineRule="auto"/>
        <w:rPr/>
      </w:pPr>
      <w:r w:rsidDel="00000000" w:rsidR="00000000" w:rsidRPr="00000000">
        <w:rPr>
          <w:rtl w:val="0"/>
        </w:rPr>
        <w:t xml:space="preserve">Поіменні результати голосувань необхідно експортувати з програмного забезпечення у  відкритих машиночитаних форматах (CSV, JSON, XML) або в форматах електронних таблиць (XLS, XLSX, ODS). Якщо програмне забезпечення не має такої можливості, варто розробити або підключити додаткові модулі. Вимоги щодо можливості експорту даних або наявності відкритого API мають бути включені в специфікації, технічні завдання та інші документи, які використовуються під час впровадження систем голосування.</w:t>
      </w:r>
    </w:p>
    <w:p w:rsidR="00000000" w:rsidDel="00000000" w:rsidP="00000000" w:rsidRDefault="00000000" w:rsidRPr="00000000" w14:paraId="00000017">
      <w:pPr>
        <w:spacing w:after="200" w:lineRule="auto"/>
        <w:rPr/>
      </w:pPr>
      <w:r w:rsidDel="00000000" w:rsidR="00000000" w:rsidRPr="00000000">
        <w:rPr>
          <w:rtl w:val="0"/>
        </w:rPr>
        <w:t xml:space="preserve">Дані можуть бути представлені у форматі ієрархічних файлів (JSON, XML) або плоских таблиць (CSV, XLS, XLSX, ODS). Один ресурс може вміщувати дані про одне голосування, засідання або сесію, залежно від налаштувань системи. Якщо імена депутатів, назви рішень або інша інформація подана системними кодами, до набору необхідно додати відповідні довідники. Не допускається оприлюднення поіменних результатів у форматі текстових документів (TXT, RTF, ODT, DOC, DOCX, PDF, HTML) або як посилань на веб-сервіси.</w:t>
      </w:r>
    </w:p>
    <w:p w:rsidR="00000000" w:rsidDel="00000000" w:rsidP="00000000" w:rsidRDefault="00000000" w:rsidRPr="00000000" w14:paraId="00000018">
      <w:pPr>
        <w:spacing w:after="200" w:lineRule="auto"/>
        <w:rPr/>
      </w:pPr>
      <w:r w:rsidDel="00000000" w:rsidR="00000000" w:rsidRPr="00000000">
        <w:rPr>
          <w:rtl w:val="0"/>
        </w:rPr>
        <w:t xml:space="preserve">Приклади наборів даних у форматі JSON можна переглянути за посиланнями: </w:t>
      </w:r>
      <w:hyperlink r:id="rId12">
        <w:r w:rsidDel="00000000" w:rsidR="00000000" w:rsidRPr="00000000">
          <w:rPr>
            <w:color w:val="1155cc"/>
            <w:u w:val="single"/>
            <w:rtl w:val="0"/>
          </w:rPr>
          <w:t xml:space="preserve">поіменні результати голосування Львівської міської ради</w:t>
        </w:r>
      </w:hyperlink>
      <w:r w:rsidDel="00000000" w:rsidR="00000000" w:rsidRPr="00000000">
        <w:rPr>
          <w:rtl w:val="0"/>
        </w:rPr>
        <w:t xml:space="preserve">, </w:t>
      </w:r>
      <w:hyperlink r:id="rId13">
        <w:r w:rsidDel="00000000" w:rsidR="00000000" w:rsidRPr="00000000">
          <w:rPr>
            <w:color w:val="1155cc"/>
            <w:u w:val="single"/>
            <w:rtl w:val="0"/>
          </w:rPr>
          <w:t xml:space="preserve">поіменні результати голосування Дрогобицької міської ради</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pStyle w:val="Heading1"/>
        <w:rPr/>
      </w:pPr>
      <w:bookmarkStart w:colFirst="0" w:colLast="0" w:name="_bnn90p9huc99" w:id="4"/>
      <w:bookmarkEnd w:id="4"/>
      <w:r w:rsidDel="00000000" w:rsidR="00000000" w:rsidRPr="00000000">
        <w:rPr>
          <w:rtl w:val="0"/>
        </w:rPr>
        <w:t xml:space="preserve">4. Оформлення паспортів наборів та ресурсів</w:t>
      </w:r>
    </w:p>
    <w:tbl>
      <w:tblPr>
        <w:tblStyle w:val="Table2"/>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r w:rsidDel="00000000" w:rsidR="00000000" w:rsidRPr="00000000">
              <w:rPr>
                <w:rtl w:val="0"/>
              </w:rPr>
            </w:r>
          </w:p>
        </w:tc>
      </w:tr>
    </w:tbl>
    <w:p w:rsidR="00000000" w:rsidDel="00000000" w:rsidP="00000000" w:rsidRDefault="00000000" w:rsidRPr="00000000" w14:paraId="0000001B">
      <w:pPr>
        <w:spacing w:after="200" w:lineRule="auto"/>
        <w:jc w:val="center"/>
        <w:rPr/>
      </w:pPr>
      <w:r w:rsidDel="00000000" w:rsidR="00000000" w:rsidRPr="00000000">
        <w:rPr>
          <w:rtl w:val="0"/>
        </w:rPr>
      </w:r>
    </w:p>
    <w:p w:rsidR="00000000" w:rsidDel="00000000" w:rsidP="00000000" w:rsidRDefault="00000000" w:rsidRPr="00000000" w14:paraId="0000001C">
      <w:pPr>
        <w:spacing w:after="200" w:lineRule="auto"/>
        <w:jc w:val="center"/>
        <w:rPr>
          <w:b w:val="1"/>
        </w:rPr>
      </w:pPr>
      <w:r w:rsidDel="00000000" w:rsidR="00000000" w:rsidRPr="00000000">
        <w:rPr>
          <w:b w:val="1"/>
          <w:rtl w:val="0"/>
        </w:rPr>
        <w:t xml:space="preserve">Таблиця 1 — Приклад паспорта набору даних</w:t>
      </w:r>
    </w:p>
    <w:tbl>
      <w:tblPr>
        <w:tblStyle w:val="Table3"/>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1D">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1E">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1F">
            <w:pPr>
              <w:rPr/>
            </w:pPr>
            <w:r w:rsidDel="00000000" w:rsidR="00000000" w:rsidRPr="00000000">
              <w:rPr>
                <w:rtl w:val="0"/>
              </w:rPr>
              <w:t xml:space="preserve">Назва набору</w:t>
            </w:r>
          </w:p>
        </w:tc>
        <w:tc>
          <w:tcPr/>
          <w:p w:rsidR="00000000" w:rsidDel="00000000" w:rsidP="00000000" w:rsidRDefault="00000000" w:rsidRPr="00000000" w14:paraId="00000020">
            <w:pPr>
              <w:widowControl w:val="0"/>
              <w:rPr/>
            </w:pPr>
            <w:r w:rsidDel="00000000" w:rsidR="00000000" w:rsidRPr="00000000">
              <w:rPr>
                <w:rtl w:val="0"/>
              </w:rPr>
              <w:t xml:space="preserve">Поіменні результати голосування депутатів на пленарних засіданнях Полтавської міської ради</w:t>
            </w:r>
          </w:p>
        </w:tc>
      </w:tr>
      <w:tr>
        <w:trPr>
          <w:trHeight w:val="20" w:hRule="atLeast"/>
        </w:trPr>
        <w:tc>
          <w:tcPr/>
          <w:p w:rsidR="00000000" w:rsidDel="00000000" w:rsidP="00000000" w:rsidRDefault="00000000" w:rsidRPr="00000000" w14:paraId="00000021">
            <w:pPr>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22">
            <w:pPr>
              <w:widowControl w:val="0"/>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23">
            <w:pPr>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24">
            <w:pPr>
              <w:widowControl w:val="0"/>
              <w:rPr/>
            </w:pPr>
            <w:r w:rsidDel="00000000" w:rsidR="00000000" w:rsidRPr="00000000">
              <w:rPr>
                <w:rtl w:val="0"/>
              </w:rPr>
              <w:t xml:space="preserve">Відразу після внесення змін</w:t>
            </w:r>
          </w:p>
        </w:tc>
      </w:tr>
      <w:tr>
        <w:tc>
          <w:tcPr/>
          <w:p w:rsidR="00000000" w:rsidDel="00000000" w:rsidP="00000000" w:rsidRDefault="00000000" w:rsidRPr="00000000" w14:paraId="00000025">
            <w:pPr>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26">
            <w:pPr>
              <w:widowControl w:val="0"/>
              <w:rPr/>
            </w:pPr>
            <w:r w:rsidDel="00000000" w:rsidR="00000000" w:rsidRPr="00000000">
              <w:rPr>
                <w:rtl w:val="0"/>
              </w:rPr>
              <w:t xml:space="preserve">Набір містить поіменні результати голосування депутатів на пленарних засіданнях Тернопільської міської ради протягом V-VII скликання. Кожен ресурс у наборі включає  результати поіменного голосування протягом 1 засідання.</w:t>
            </w:r>
          </w:p>
        </w:tc>
      </w:tr>
      <w:tr>
        <w:trPr>
          <w:trHeight w:val="180" w:hRule="atLeast"/>
        </w:trPr>
        <w:tc>
          <w:tcPr/>
          <w:p w:rsidR="00000000" w:rsidDel="00000000" w:rsidP="00000000" w:rsidRDefault="00000000" w:rsidRPr="00000000" w14:paraId="00000027">
            <w:pPr>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28">
            <w:pPr>
              <w:widowControl w:val="0"/>
              <w:rPr/>
            </w:pPr>
            <w:r w:rsidDel="00000000" w:rsidR="00000000" w:rsidRPr="00000000">
              <w:rPr>
                <w:rtl w:val="0"/>
              </w:rPr>
              <w:t xml:space="preserve">Закон України «Про місцеве самоврядування в Україні» від 21.05.1997 № 280/97-ВР, Закон України «Про доступ до публічної інформації» від 13.01.2011 № 2939-VI, Рішення Полтавської міської ради «Про регламент Полтавської міської ради сьомого скликання» від 24.11.2015 № 7/2/152</w:t>
            </w:r>
            <w:r w:rsidDel="00000000" w:rsidR="00000000" w:rsidRPr="00000000">
              <w:rPr>
                <w:rtl w:val="0"/>
              </w:rPr>
            </w:r>
          </w:p>
        </w:tc>
      </w:tr>
      <w:tr>
        <w:trPr>
          <w:trHeight w:val="120" w:hRule="atLeast"/>
        </w:trPr>
        <w:tc>
          <w:tcPr/>
          <w:p w:rsidR="00000000" w:rsidDel="00000000" w:rsidP="00000000" w:rsidRDefault="00000000" w:rsidRPr="00000000" w14:paraId="00000029">
            <w:pPr>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2A">
            <w:pPr>
              <w:widowControl w:val="0"/>
              <w:rPr/>
            </w:pPr>
            <w:r w:rsidDel="00000000" w:rsidR="00000000" w:rsidRPr="00000000">
              <w:rPr>
                <w:rtl w:val="0"/>
              </w:rPr>
              <w:t xml:space="preserve">голосування, рада, результат, самоврядування, рішення, засідання, депутат, поіменне голосування, місцеве самоврядування, міська рада</w:t>
            </w:r>
            <w:r w:rsidDel="00000000" w:rsidR="00000000" w:rsidRPr="00000000">
              <w:rPr>
                <w:rtl w:val="0"/>
              </w:rPr>
            </w:r>
          </w:p>
        </w:tc>
      </w:tr>
      <w:tr>
        <w:trPr>
          <w:trHeight w:val="460" w:hRule="atLeast"/>
        </w:trPr>
        <w:tc>
          <w:tcPr/>
          <w:p w:rsidR="00000000" w:rsidDel="00000000" w:rsidP="00000000" w:rsidRDefault="00000000" w:rsidRPr="00000000" w14:paraId="0000002B">
            <w:pPr>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2C">
            <w:pPr>
              <w:widowControl w:val="0"/>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2D">
            <w:pPr>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2E">
            <w:pPr>
              <w:widowControl w:val="0"/>
              <w:rPr/>
            </w:pPr>
            <w:r w:rsidDel="00000000" w:rsidR="00000000" w:rsidRPr="00000000">
              <w:rPr>
                <w:rtl w:val="0"/>
              </w:rPr>
              <w:t xml:space="preserve">o.symonenko@example.gov.ua</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00" w:lineRule="auto"/>
        <w:jc w:val="center"/>
        <w:rPr>
          <w:b w:val="1"/>
        </w:rPr>
      </w:pPr>
      <w:r w:rsidDel="00000000" w:rsidR="00000000" w:rsidRPr="00000000">
        <w:rPr>
          <w:b w:val="1"/>
          <w:rtl w:val="0"/>
        </w:rPr>
        <w:t xml:space="preserve">Таблиця 2 — Приклади паспорта ресурсу</w:t>
      </w:r>
    </w:p>
    <w:tbl>
      <w:tblPr>
        <w:tblStyle w:val="Table4"/>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31">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32">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33">
            <w:pPr>
              <w:rPr/>
            </w:pPr>
            <w:r w:rsidDel="00000000" w:rsidR="00000000" w:rsidRPr="00000000">
              <w:rPr>
                <w:rtl w:val="0"/>
              </w:rPr>
              <w:t xml:space="preserve">Назва ресурсу</w:t>
            </w:r>
          </w:p>
        </w:tc>
        <w:tc>
          <w:tcPr/>
          <w:p w:rsidR="00000000" w:rsidDel="00000000" w:rsidP="00000000" w:rsidRDefault="00000000" w:rsidRPr="00000000" w14:paraId="00000034">
            <w:pPr>
              <w:widowControl w:val="0"/>
              <w:rPr/>
            </w:pPr>
            <w:r w:rsidDel="00000000" w:rsidR="00000000" w:rsidRPr="00000000">
              <w:rPr>
                <w:rtl w:val="0"/>
              </w:rPr>
              <w:t xml:space="preserve">convocation-7-session-20-date-2018-09-12.json</w:t>
            </w:r>
          </w:p>
        </w:tc>
      </w:tr>
      <w:tr>
        <w:tc>
          <w:tcPr/>
          <w:p w:rsidR="00000000" w:rsidDel="00000000" w:rsidP="00000000" w:rsidRDefault="00000000" w:rsidRPr="00000000" w14:paraId="00000035">
            <w:pPr>
              <w:rPr/>
            </w:pPr>
            <w:r w:rsidDel="00000000" w:rsidR="00000000" w:rsidRPr="00000000">
              <w:rPr>
                <w:rtl w:val="0"/>
              </w:rPr>
              <w:t xml:space="preserve">Опис</w:t>
            </w:r>
          </w:p>
        </w:tc>
        <w:tc>
          <w:tcPr/>
          <w:p w:rsidR="00000000" w:rsidDel="00000000" w:rsidP="00000000" w:rsidRDefault="00000000" w:rsidRPr="00000000" w14:paraId="00000036">
            <w:pPr>
              <w:widowControl w:val="0"/>
              <w:rPr/>
            </w:pPr>
            <w:r w:rsidDel="00000000" w:rsidR="00000000" w:rsidRPr="00000000">
              <w:rPr>
                <w:rtl w:val="0"/>
              </w:rPr>
              <w:t xml:space="preserve">Поіменні результати голосування депутатів протягом XX сесії 12 вересня 2019 року.</w:t>
            </w:r>
          </w:p>
        </w:tc>
      </w:tr>
      <w:tr>
        <w:trPr>
          <w:trHeight w:val="160" w:hRule="atLeast"/>
        </w:trPr>
        <w:tc>
          <w:tcPr/>
          <w:p w:rsidR="00000000" w:rsidDel="00000000" w:rsidP="00000000" w:rsidRDefault="00000000" w:rsidRPr="00000000" w14:paraId="00000037">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38">
            <w:pPr>
              <w:widowControl w:val="0"/>
              <w:rPr/>
            </w:pPr>
            <w:r w:rsidDel="00000000" w:rsidR="00000000" w:rsidRPr="00000000">
              <w:rPr>
                <w:rtl w:val="0"/>
              </w:rPr>
              <w:t xml:space="preserve">JSON</w:t>
            </w: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popoloproject.com/" TargetMode="External"/><Relationship Id="rId10" Type="http://schemas.openxmlformats.org/officeDocument/2006/relationships/hyperlink" Target="http://golos.net.ua/" TargetMode="External"/><Relationship Id="rId13" Type="http://schemas.openxmlformats.org/officeDocument/2006/relationships/hyperlink" Target="https://opendata.drohobych-rada.gov.ua/dataset/%D1%80%D0%B5%D0%B7%D1%83%D0%BB%D1%8C%D1%82%D0%B0%D1%82%D0%B8-%D0%BF%D0%BE%D1%96%D0%BC%D0%B5%D0%BD%D0%BD%D0%BE%D0%B3%D0%BE-%D0%B3%D0%BE%D0%BB%D0%BE%D1%81%D1%83%D0%B2%D0%B0%D0%BD%D0%BD%D1%8F-%D0%B4%D0%B5%D0%BF%D1%83%D1%82%D0%B0%D1%82%D1%96%D0%B2-vii-%D1%81%D0%BA%D0%BB%D0%B8%D0%BA%D0%B0%D0%BD%D0%BD%D1%8F-%D0%B4%D1%80%D0%BE%D0%B3%D0%BE%D0%B1%D0%B8%D1%86%D1%8C%D0%BA%D0%BE%D1%97-%D0%BC%D1%96%D1%81%D1%8C%D0%BA%D0%BE%D1%97-%D1%80%D0%B0%D0%B4%D0%B8" TargetMode="External"/><Relationship Id="rId12" Type="http://schemas.openxmlformats.org/officeDocument/2006/relationships/hyperlink" Target="https://opendata.city-adm.lviv.ua/dataset/zasidannia-04-04-20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viche.ms.km.ua/" TargetMode="External"/><Relationship Id="rId5" Type="http://schemas.openxmlformats.org/officeDocument/2006/relationships/styles" Target="styles.xml"/><Relationship Id="rId6" Type="http://schemas.openxmlformats.org/officeDocument/2006/relationships/hyperlink" Target="https://zakon.rada.gov.ua/laws/show/280/97-%D0%B2%D1%80" TargetMode="External"/><Relationship Id="rId7" Type="http://schemas.openxmlformats.org/officeDocument/2006/relationships/hyperlink" Target="https://zakon.rada.gov.ua/laws/show/2939-17" TargetMode="External"/><Relationship Id="rId8" Type="http://schemas.openxmlformats.org/officeDocument/2006/relationships/hyperlink" Target="https://zakon.rada.gov.ua/laws/show/280/97-%D0%B2%D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