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h4wi12as5x6" w:id="0"/>
      <w:bookmarkEnd w:id="0"/>
      <w:r w:rsidDel="00000000" w:rsidR="00000000" w:rsidRPr="00000000">
        <w:rPr>
          <w:rtl w:val="0"/>
        </w:rPr>
        <w:t xml:space="preserve">Дані про електронні петиції, у тому числі, осіб, що їх підписали, та результати розгляду</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звернення громадян» від 02.10.1996 № 393/96-ВР</w:t>
              </w:r>
            </w:hyperlink>
            <w:r w:rsidDel="00000000" w:rsidR="00000000" w:rsidRPr="00000000">
              <w:rPr>
                <w:rtl w:val="0"/>
              </w:rPr>
              <w:t xml:space="preserve">, нормативно-правові акти органів місцевого самоврядування.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Перелік відомостей, що є обов’язковими при подачі й публікації петиції, визначений у статті 23-1 Закону України «Про звернення громадян».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Дані оновлюються внаслідок подання, оприлюднення, підписання, розгляду, оприлюднення відповіді на петиції.</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Більш, як один раз на день (у разі автоматичного оприлюднення), щотижня (у випадку ручного оновлення).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Rule="auto"/>
        <w:rPr/>
      </w:pPr>
      <w:r w:rsidDel="00000000" w:rsidR="00000000" w:rsidRPr="00000000">
        <w:rPr>
          <w:rtl w:val="0"/>
        </w:rPr>
        <w:t xml:space="preserve">Стаття 23-1 </w:t>
      </w:r>
      <w:hyperlink r:id="rId8">
        <w:r w:rsidDel="00000000" w:rsidR="00000000" w:rsidRPr="00000000">
          <w:rPr>
            <w:color w:val="1155cc"/>
            <w:u w:val="single"/>
            <w:rtl w:val="0"/>
          </w:rPr>
          <w:t xml:space="preserve">Закону України «Про звернення громадян»</w:t>
        </w:r>
      </w:hyperlink>
      <w:r w:rsidDel="00000000" w:rsidR="00000000" w:rsidRPr="00000000">
        <w:rPr>
          <w:rtl w:val="0"/>
        </w:rPr>
        <w:t xml:space="preserve"> визначає перелік відомостей, що є обов’язковими для подання петиції. Зокрема, (1) </w:t>
      </w:r>
      <w:r w:rsidDel="00000000" w:rsidR="00000000" w:rsidRPr="00000000">
        <w:rPr>
          <w:rtl w:val="0"/>
        </w:rPr>
        <w:t xml:space="preserve">суть звернення, (2) прізвище, ім’я, по батькові, (3) адресу електронної пошти автора. На веб-сайті має зазначатися (4) дата початку збору підписів, (5) інформація щодо загальної кількості та (6) переліку осіб, які підписали електронну петицію.</w:t>
      </w:r>
    </w:p>
    <w:p w:rsidR="00000000" w:rsidDel="00000000" w:rsidP="00000000" w:rsidRDefault="00000000" w:rsidRPr="00000000" w14:paraId="00000013">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spacing w:after="200" w:before="0" w:lineRule="auto"/>
        <w:rPr/>
      </w:pPr>
      <w:r w:rsidDel="00000000" w:rsidR="00000000" w:rsidRPr="00000000">
        <w:rPr>
          <w:rtl w:val="0"/>
        </w:rPr>
        <w:t xml:space="preserve">Органи місцевого самоврядування використовують типові (</w:t>
      </w:r>
      <w:hyperlink r:id="rId9">
        <w:r w:rsidDel="00000000" w:rsidR="00000000" w:rsidRPr="00000000">
          <w:rPr>
            <w:color w:val="1155cc"/>
            <w:u w:val="single"/>
            <w:rtl w:val="0"/>
          </w:rPr>
          <w:t xml:space="preserve">Єдина система місцевих петицій</w:t>
        </w:r>
      </w:hyperlink>
      <w:r w:rsidDel="00000000" w:rsidR="00000000" w:rsidRPr="00000000">
        <w:rPr>
          <w:rtl w:val="0"/>
        </w:rPr>
        <w:t xml:space="preserve">) або власні платформи для подання петицій (наприклад, </w:t>
      </w:r>
      <w:hyperlink r:id="rId10">
        <w:r w:rsidDel="00000000" w:rsidR="00000000" w:rsidRPr="00000000">
          <w:rPr>
            <w:color w:val="1155cc"/>
            <w:u w:val="single"/>
            <w:rtl w:val="0"/>
          </w:rPr>
          <w:t xml:space="preserve">Київ</w:t>
        </w:r>
      </w:hyperlink>
      <w:r w:rsidDel="00000000" w:rsidR="00000000" w:rsidRPr="00000000">
        <w:rPr>
          <w:rtl w:val="0"/>
        </w:rPr>
        <w:t xml:space="preserve">, </w:t>
      </w:r>
      <w:hyperlink r:id="rId11">
        <w:r w:rsidDel="00000000" w:rsidR="00000000" w:rsidRPr="00000000">
          <w:rPr>
            <w:color w:val="1155cc"/>
            <w:u w:val="single"/>
            <w:rtl w:val="0"/>
          </w:rPr>
          <w:t xml:space="preserve">Харків</w:t>
        </w:r>
      </w:hyperlink>
      <w:r w:rsidDel="00000000" w:rsidR="00000000" w:rsidRPr="00000000">
        <w:rPr>
          <w:rtl w:val="0"/>
        </w:rPr>
        <w:t xml:space="preserve">, </w:t>
      </w:r>
      <w:hyperlink r:id="rId12">
        <w:r w:rsidDel="00000000" w:rsidR="00000000" w:rsidRPr="00000000">
          <w:rPr>
            <w:color w:val="1155cc"/>
            <w:u w:val="single"/>
            <w:rtl w:val="0"/>
          </w:rPr>
          <w:t xml:space="preserve">Одеса</w:t>
        </w:r>
      </w:hyperlink>
      <w:r w:rsidDel="00000000" w:rsidR="00000000" w:rsidRPr="00000000">
        <w:rPr>
          <w:rtl w:val="0"/>
        </w:rPr>
        <w:t xml:space="preserve">). Необхідно враховувати, що інформація про петицію на веб-сторінці не є машиночитаною. Тому оприлюднення посилання на веб-сервіс в якості набору не допускається. Також не відповідає принципам відкритих даних публікація агрегованих (зведених) даних.</w:t>
      </w:r>
    </w:p>
    <w:p w:rsidR="00000000" w:rsidDel="00000000" w:rsidP="00000000" w:rsidRDefault="00000000" w:rsidRPr="00000000" w14:paraId="00000015">
      <w:pPr>
        <w:spacing w:after="200" w:before="0" w:lineRule="auto"/>
        <w:rPr/>
      </w:pPr>
      <w:r w:rsidDel="00000000" w:rsidR="00000000" w:rsidRPr="00000000">
        <w:rPr>
          <w:rtl w:val="0"/>
        </w:rPr>
        <w:t xml:space="preserve">Відповідальним особам недоцільно збирати інформацію про петиції вручну з веб-сервісів. Це призводить до дублювання даних та неефективного використання робочого часу. Натомість краще налаштувати експорт даних у відкритих машиночитаних форматах (CSV, JSON, XML) або залучити розробників для створення інтерфейсу прикладного програмування (server-side web API).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впровадження електронних сервісів.</w:t>
      </w:r>
    </w:p>
    <w:p w:rsidR="00000000" w:rsidDel="00000000" w:rsidP="00000000" w:rsidRDefault="00000000" w:rsidRPr="00000000" w14:paraId="00000016">
      <w:pPr>
        <w:spacing w:after="200" w:before="0" w:lineRule="auto"/>
        <w:rPr/>
      </w:pPr>
      <w:r w:rsidDel="00000000" w:rsidR="00000000" w:rsidRPr="00000000">
        <w:rPr>
          <w:rtl w:val="0"/>
        </w:rPr>
        <w:t xml:space="preserve">Набір має щонайменше містити відомості, передбачені статтею 23-1 </w:t>
      </w:r>
      <w:hyperlink r:id="rId13">
        <w:r w:rsidDel="00000000" w:rsidR="00000000" w:rsidRPr="00000000">
          <w:rPr>
            <w:color w:val="1155cc"/>
            <w:u w:val="single"/>
            <w:rtl w:val="0"/>
          </w:rPr>
          <w:t xml:space="preserve">Закону України «Про звернення громадян»</w:t>
        </w:r>
      </w:hyperlink>
      <w:r w:rsidDel="00000000" w:rsidR="00000000" w:rsidRPr="00000000">
        <w:rPr>
          <w:rtl w:val="0"/>
        </w:rPr>
        <w:t xml:space="preserve">. Також до нього можуть бути включені додаткові дані, наприклад, тематична категорія петиції, статус та результати розгляду, фіксація часу голосування. Прізвища, імена, по батькові осіб, що підтримали петиції, підлягають знеособленню шляхом кодування. Дані можуть бути представлені у форматі ієрархічних файлів (JSON, XML) або плоских таблиць (CSV, XLS, XLSX, ODS).</w:t>
      </w:r>
    </w:p>
    <w:p w:rsidR="00000000" w:rsidDel="00000000" w:rsidP="00000000" w:rsidRDefault="00000000" w:rsidRPr="00000000" w14:paraId="00000017">
      <w:pPr>
        <w:pStyle w:val="Heading1"/>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8">
            <w:pPr>
              <w:spacing w:after="0"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jc w:val="center"/>
        <w:rPr>
          <w:b w:val="1"/>
        </w:rPr>
      </w:pPr>
      <w:r w:rsidDel="00000000" w:rsidR="00000000" w:rsidRPr="00000000">
        <w:rPr>
          <w:b w:val="1"/>
          <w:rtl w:val="0"/>
        </w:rPr>
        <w:t xml:space="preserve">Таблиця 1 — Приклад паспорта набору даних на data.gov.ua</w:t>
      </w:r>
    </w:p>
    <w:tbl>
      <w:tblPr>
        <w:tblStyle w:val="Table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1B">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1C">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1D">
            <w:pPr>
              <w:rPr/>
            </w:pPr>
            <w:r w:rsidDel="00000000" w:rsidR="00000000" w:rsidRPr="00000000">
              <w:rPr>
                <w:rtl w:val="0"/>
              </w:rPr>
              <w:t xml:space="preserve">Назва набору</w:t>
            </w:r>
          </w:p>
        </w:tc>
        <w:tc>
          <w:tcPr/>
          <w:p w:rsidR="00000000" w:rsidDel="00000000" w:rsidP="00000000" w:rsidRDefault="00000000" w:rsidRPr="00000000" w14:paraId="0000001E">
            <w:pPr>
              <w:widowControl w:val="0"/>
              <w:rPr/>
            </w:pPr>
            <w:r w:rsidDel="00000000" w:rsidR="00000000" w:rsidRPr="00000000">
              <w:rPr>
                <w:rtl w:val="0"/>
              </w:rPr>
              <w:t xml:space="preserve">Дані про електронні петиції, у тому числі осіб, що їх підписали, та результати розгляду</w:t>
            </w:r>
          </w:p>
        </w:tc>
      </w:tr>
      <w:tr>
        <w:trPr>
          <w:trHeight w:val="20" w:hRule="atLeast"/>
        </w:trPr>
        <w:tc>
          <w:tcPr/>
          <w:p w:rsidR="00000000" w:rsidDel="00000000" w:rsidP="00000000" w:rsidRDefault="00000000" w:rsidRPr="00000000" w14:paraId="0000001F">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20">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21">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22">
            <w:pPr>
              <w:rPr/>
            </w:pPr>
            <w:r w:rsidDel="00000000" w:rsidR="00000000" w:rsidRPr="00000000">
              <w:rPr>
                <w:rtl w:val="0"/>
              </w:rPr>
              <w:t xml:space="preserve">Більш, як один раз на день</w:t>
            </w:r>
            <w:r w:rsidDel="00000000" w:rsidR="00000000" w:rsidRPr="00000000">
              <w:rPr>
                <w:rtl w:val="0"/>
              </w:rPr>
            </w:r>
          </w:p>
        </w:tc>
      </w:tr>
      <w:tr>
        <w:tc>
          <w:tcPr/>
          <w:p w:rsidR="00000000" w:rsidDel="00000000" w:rsidP="00000000" w:rsidRDefault="00000000" w:rsidRPr="00000000" w14:paraId="00000023">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24">
            <w:pPr>
              <w:widowControl w:val="0"/>
              <w:rPr/>
            </w:pPr>
            <w:r w:rsidDel="00000000" w:rsidR="00000000" w:rsidRPr="00000000">
              <w:rPr>
                <w:rtl w:val="0"/>
              </w:rPr>
              <w:t xml:space="preserve">Набір містить дані про назву, суть, тематику, дату початку збору й кількість підписів, інформацію про автора, осіб, що підписали петицію, стан та результат розгляду петиції.</w:t>
            </w:r>
            <w:r w:rsidDel="00000000" w:rsidR="00000000" w:rsidRPr="00000000">
              <w:rPr>
                <w:rtl w:val="0"/>
              </w:rPr>
            </w:r>
          </w:p>
        </w:tc>
      </w:tr>
      <w:tr>
        <w:trPr>
          <w:trHeight w:val="180" w:hRule="atLeast"/>
        </w:trPr>
        <w:tc>
          <w:tcPr/>
          <w:p w:rsidR="00000000" w:rsidDel="00000000" w:rsidP="00000000" w:rsidRDefault="00000000" w:rsidRPr="00000000" w14:paraId="00000025">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26">
            <w:pPr>
              <w:widowControl w:val="0"/>
              <w:rPr/>
            </w:pPr>
            <w:r w:rsidDel="00000000" w:rsidR="00000000" w:rsidRPr="00000000">
              <w:rPr>
                <w:rtl w:val="0"/>
              </w:rPr>
              <w:t xml:space="preserve">Закон України «Про місцеве самоврядування в Україні» від 21.05.1997 № 280/97-ВР, Закон України «Про звернення громадян» від 02.10.1996 № 393/96-ВР</w:t>
            </w:r>
            <w:r w:rsidDel="00000000" w:rsidR="00000000" w:rsidRPr="00000000">
              <w:rPr>
                <w:rtl w:val="0"/>
              </w:rPr>
            </w:r>
          </w:p>
        </w:tc>
      </w:tr>
      <w:tr>
        <w:trPr>
          <w:trHeight w:val="120" w:hRule="atLeast"/>
        </w:trPr>
        <w:tc>
          <w:tcPr/>
          <w:p w:rsidR="00000000" w:rsidDel="00000000" w:rsidP="00000000" w:rsidRDefault="00000000" w:rsidRPr="00000000" w14:paraId="00000027">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28">
            <w:pPr>
              <w:widowControl w:val="0"/>
              <w:rPr/>
            </w:pPr>
            <w:r w:rsidDel="00000000" w:rsidR="00000000" w:rsidRPr="00000000">
              <w:rPr>
                <w:rtl w:val="0"/>
              </w:rPr>
              <w:t xml:space="preserve">петиції, звернення, демократія, </w:t>
            </w:r>
            <w:r w:rsidDel="00000000" w:rsidR="00000000" w:rsidRPr="00000000">
              <w:rPr>
                <w:rtl w:val="0"/>
              </w:rPr>
              <w:t xml:space="preserve">е-дем</w:t>
            </w:r>
            <w:r w:rsidDel="00000000" w:rsidR="00000000" w:rsidRPr="00000000">
              <w:rPr>
                <w:rtl w:val="0"/>
              </w:rPr>
              <w:t xml:space="preserve">, звернення громадян, електронна демократія</w:t>
            </w:r>
            <w:r w:rsidDel="00000000" w:rsidR="00000000" w:rsidRPr="00000000">
              <w:rPr>
                <w:rtl w:val="0"/>
              </w:rPr>
            </w:r>
          </w:p>
        </w:tc>
      </w:tr>
      <w:tr>
        <w:trPr>
          <w:trHeight w:val="460" w:hRule="atLeast"/>
        </w:trPr>
        <w:tc>
          <w:tcPr/>
          <w:p w:rsidR="00000000" w:rsidDel="00000000" w:rsidP="00000000" w:rsidRDefault="00000000" w:rsidRPr="00000000" w14:paraId="00000029">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2A">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2B">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2C">
            <w:pPr>
              <w:widowControl w:val="0"/>
              <w:rPr/>
            </w:pPr>
            <w:r w:rsidDel="00000000" w:rsidR="00000000" w:rsidRPr="00000000">
              <w:rPr>
                <w:rtl w:val="0"/>
              </w:rPr>
              <w:t xml:space="preserve">o.symonenko@example.gov.ua</w:t>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uxn7dxcfyaw9" w:id="5"/>
      <w:bookmarkEnd w:id="5"/>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city.kharkov.ua/uk/search.html?tag=6126" TargetMode="External"/><Relationship Id="rId10" Type="http://schemas.openxmlformats.org/officeDocument/2006/relationships/hyperlink" Target="https://petition.kyivcity.gov.ua/" TargetMode="External"/><Relationship Id="rId13" Type="http://schemas.openxmlformats.org/officeDocument/2006/relationships/hyperlink" Target="https://zakon.rada.gov.ua/laws/show/393/96-%D0%B2%D1%80" TargetMode="External"/><Relationship Id="rId12" Type="http://schemas.openxmlformats.org/officeDocument/2006/relationships/hyperlink" Target="https://citizen.odessa.ua/pet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em.in.ua/"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7" Type="http://schemas.openxmlformats.org/officeDocument/2006/relationships/hyperlink" Target="https://zakon.rada.gov.ua/laws/show/393/96-%D0%B2%D1%80" TargetMode="External"/><Relationship Id="rId8" Type="http://schemas.openxmlformats.org/officeDocument/2006/relationships/hyperlink" Target="https://zakon.rada.gov.ua/laws/show/393/96-%D0%B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