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tabs>
          <w:tab w:val="right" w:pos="9025"/>
        </w:tabs>
        <w:spacing w:line="276" w:lineRule="auto"/>
        <w:rPr/>
      </w:pPr>
      <w:bookmarkStart w:colFirst="0" w:colLast="0" w:name="_bmnstsismiqm" w:id="0"/>
      <w:bookmarkEnd w:id="0"/>
      <w:r w:rsidDel="00000000" w:rsidR="00000000" w:rsidRPr="00000000">
        <w:rPr>
          <w:rtl w:val="0"/>
        </w:rPr>
        <w:t xml:space="preserve">Планові та фактичні показники сплати за договорами оренди комунальної власності, розміщення тимчасових споруд, розміщення рекламних засобів</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7">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оренду державного та комунального майна» від 10.04.1992 № 2269-XII</w:t>
              </w:r>
            </w:hyperlink>
            <w:r w:rsidDel="00000000" w:rsidR="00000000" w:rsidRPr="00000000">
              <w:rPr>
                <w:rtl w:val="0"/>
              </w:rPr>
              <w:t xml:space="preserve">, </w:t>
            </w:r>
            <w:hyperlink r:id="rId9">
              <w:r w:rsidDel="00000000" w:rsidR="00000000" w:rsidRPr="00000000">
                <w:rPr>
                  <w:color w:val="1155cc"/>
                  <w:u w:val="single"/>
                  <w:rtl w:val="0"/>
                </w:rPr>
                <w:t xml:space="preserve">Закон України «Про рекламу» від 03.07.1996 № 270/96-ВР</w:t>
              </w:r>
            </w:hyperlink>
            <w:r w:rsidDel="00000000" w:rsidR="00000000" w:rsidRPr="00000000">
              <w:rPr>
                <w:rtl w:val="0"/>
              </w:rPr>
              <w:t xml:space="preserve">, </w:t>
            </w:r>
            <w:hyperlink r:id="rId10">
              <w:r w:rsidDel="00000000" w:rsidR="00000000" w:rsidRPr="00000000">
                <w:rPr>
                  <w:color w:val="1155cc"/>
                  <w:u w:val="single"/>
                  <w:rtl w:val="0"/>
                </w:rPr>
                <w:t xml:space="preserve">Постанова КМУ «Про затвердження Типових правил розміщення зовнішньої реклами» від 29.12.2003 № 2067</w:t>
              </w:r>
            </w:hyperlink>
            <w:r w:rsidDel="00000000" w:rsidR="00000000" w:rsidRPr="00000000">
              <w:rPr>
                <w:rtl w:val="0"/>
              </w:rPr>
              <w:t xml:space="preserve">, </w:t>
            </w:r>
            <w:hyperlink r:id="rId11">
              <w:r w:rsidDel="00000000" w:rsidR="00000000" w:rsidRPr="00000000">
                <w:rPr>
                  <w:color w:val="1155cc"/>
                  <w:u w:val="single"/>
                  <w:rtl w:val="0"/>
                </w:rPr>
                <w:t xml:space="preserve">Закон України  «Про регулювання містобудівної діяльності» від 17.02.2011 № 3038-VI</w:t>
              </w:r>
            </w:hyperlink>
            <w:r w:rsidDel="00000000" w:rsidR="00000000" w:rsidRPr="00000000">
              <w:rPr>
                <w:rtl w:val="0"/>
              </w:rPr>
              <w:t xml:space="preserve">, </w:t>
            </w:r>
            <w:hyperlink r:id="rId12">
              <w:r w:rsidDel="00000000" w:rsidR="00000000" w:rsidRPr="00000000">
                <w:rPr>
                  <w:color w:val="1155cc"/>
                  <w:u w:val="single"/>
                  <w:rtl w:val="0"/>
                </w:rPr>
                <w:t xml:space="preserve">Наказ Мінрегіону України «Про затвердження Порядку розміщення тимчасових споруд для провадження підприємницької діяльності» від 21.10.2011 № 244</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Питання оренди та використання комунальної власності регулюються профільними нормативно-правовими актами. Органи місцевого самоврядування обліковують інформацію про планові та фактичні надходження у бухгалтерському або іншому спеціалізованому програмному забезпеченні.</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Надходження сплати, нарахування заборгованості, штрафів, пені, уточнення даних</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Щомісяця або у будь-які інші строки, що визначені для нарахування сплати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8680nbwyzpeb"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276" w:lineRule="auto"/>
        <w:rPr/>
      </w:pPr>
      <w:r w:rsidDel="00000000" w:rsidR="00000000" w:rsidRPr="00000000">
        <w:rPr>
          <w:rtl w:val="0"/>
        </w:rPr>
        <w:t xml:space="preserve">Питання оренди та використання комунальної власності регулюються профільними нормативно-правовими актами. Для оренди комунального майна це </w:t>
      </w:r>
      <w:hyperlink r:id="rId13">
        <w:r w:rsidDel="00000000" w:rsidR="00000000" w:rsidRPr="00000000">
          <w:rPr>
            <w:color w:val="1155cc"/>
            <w:u w:val="single"/>
            <w:rtl w:val="0"/>
          </w:rPr>
          <w:t xml:space="preserve">Закон України «Про оренду державного та комунального майна»</w:t>
        </w:r>
      </w:hyperlink>
      <w:r w:rsidDel="00000000" w:rsidR="00000000" w:rsidRPr="00000000">
        <w:rPr>
          <w:rtl w:val="0"/>
        </w:rPr>
        <w:t xml:space="preserve">, для зовнішньої реклами — </w:t>
      </w:r>
      <w:hyperlink r:id="rId14">
        <w:r w:rsidDel="00000000" w:rsidR="00000000" w:rsidRPr="00000000">
          <w:rPr>
            <w:color w:val="1155cc"/>
            <w:u w:val="single"/>
            <w:rtl w:val="0"/>
          </w:rPr>
          <w:t xml:space="preserve">Закон України «Про рекламу»</w:t>
        </w:r>
      </w:hyperlink>
      <w:r w:rsidDel="00000000" w:rsidR="00000000" w:rsidRPr="00000000">
        <w:rPr>
          <w:rtl w:val="0"/>
        </w:rPr>
        <w:t xml:space="preserve">, </w:t>
      </w:r>
      <w:hyperlink r:id="rId15">
        <w:r w:rsidDel="00000000" w:rsidR="00000000" w:rsidRPr="00000000">
          <w:rPr>
            <w:color w:val="1155cc"/>
            <w:u w:val="single"/>
            <w:rtl w:val="0"/>
          </w:rPr>
          <w:t xml:space="preserve">Постанова КМУ від 29.12.2003 № 2067</w:t>
        </w:r>
      </w:hyperlink>
      <w:r w:rsidDel="00000000" w:rsidR="00000000" w:rsidRPr="00000000">
        <w:rPr>
          <w:rtl w:val="0"/>
        </w:rPr>
        <w:t xml:space="preserve">, для тимчасових споруд — </w:t>
      </w:r>
      <w:hyperlink r:id="rId16">
        <w:r w:rsidDel="00000000" w:rsidR="00000000" w:rsidRPr="00000000">
          <w:rPr>
            <w:color w:val="1155cc"/>
            <w:u w:val="single"/>
            <w:rtl w:val="0"/>
          </w:rPr>
          <w:t xml:space="preserve">Закон України  «Про регулювання містобудівної діяльності»</w:t>
        </w:r>
      </w:hyperlink>
      <w:r w:rsidDel="00000000" w:rsidR="00000000" w:rsidRPr="00000000">
        <w:rPr>
          <w:rtl w:val="0"/>
        </w:rPr>
        <w:t xml:space="preserve">, </w:t>
      </w:r>
      <w:hyperlink r:id="rId17">
        <w:r w:rsidDel="00000000" w:rsidR="00000000" w:rsidRPr="00000000">
          <w:rPr>
            <w:color w:val="1155cc"/>
            <w:u w:val="single"/>
            <w:rtl w:val="0"/>
          </w:rPr>
          <w:t xml:space="preserve">Наказ Мінрегіону України від 21.10.2011 № 244</w:t>
        </w:r>
      </w:hyperlink>
      <w:r w:rsidDel="00000000" w:rsidR="00000000" w:rsidRPr="00000000">
        <w:rPr>
          <w:rtl w:val="0"/>
        </w:rPr>
        <w:t xml:space="preserve">. Органи місцевого самоврядування можуть запроваджувати власну нормативну базу для регулювання тих чи інших видів відносин.</w:t>
      </w:r>
      <w:r w:rsidDel="00000000" w:rsidR="00000000" w:rsidRPr="00000000">
        <w:rPr>
          <w:rtl w:val="0"/>
        </w:rPr>
      </w:r>
    </w:p>
    <w:p w:rsidR="00000000" w:rsidDel="00000000" w:rsidP="00000000" w:rsidRDefault="00000000" w:rsidRPr="00000000" w14:paraId="00000013">
      <w:pPr>
        <w:pStyle w:val="Heading1"/>
        <w:spacing w:after="200" w:line="276" w:lineRule="auto"/>
        <w:rPr/>
      </w:pPr>
      <w:bookmarkStart w:colFirst="0" w:colLast="0" w:name="_j9alyhxw3ktl"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4">
      <w:pPr>
        <w:spacing w:after="200" w:line="276" w:lineRule="auto"/>
        <w:rPr/>
      </w:pPr>
      <w:r w:rsidDel="00000000" w:rsidR="00000000" w:rsidRPr="00000000">
        <w:rPr>
          <w:rtl w:val="0"/>
        </w:rPr>
        <w:t xml:space="preserve">Інформація про планові та фактичні показники сплати обліковується в бухгалтерському або іншому спеціалізованому програмному забезпеченні. Інформацію необхідно експортувати у відкритих машиночитаних форматах (CSV, XML, JSON) або форматах електронних таблиць (XLS, XLSX, ODS). Під час експорту даних необхідно забезпечити наявність атрибутів, визначених у Таблиці 1.</w:t>
      </w:r>
    </w:p>
    <w:p w:rsidR="00000000" w:rsidDel="00000000" w:rsidP="00000000" w:rsidRDefault="00000000" w:rsidRPr="00000000" w14:paraId="00000015">
      <w:pPr>
        <w:spacing w:line="276" w:lineRule="auto"/>
        <w:rPr/>
      </w:pPr>
      <w:r w:rsidDel="00000000" w:rsidR="00000000" w:rsidRPr="00000000">
        <w:rPr>
          <w:rtl w:val="0"/>
        </w:rPr>
        <w:t xml:space="preserve">Дані подаються в розрізі кожного чинного договору за кожним періодом, протягом якого відбувається нарахування плати. Не допускається публікація агрегованих (сумарних) даних, наприклад, сумарних планових та фактичних показників за місяць, квартал, рік.</w:t>
      </w:r>
    </w:p>
    <w:p w:rsidR="00000000" w:rsidDel="00000000" w:rsidP="00000000" w:rsidRDefault="00000000" w:rsidRPr="00000000" w14:paraId="00000016">
      <w:pPr>
        <w:spacing w:line="276" w:lineRule="auto"/>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pPr>
            <w:r w:rsidDel="00000000" w:rsidR="00000000" w:rsidRPr="00000000">
              <w:rPr>
                <w:rtl w:val="0"/>
              </w:rPr>
              <w:t xml:space="preserve">Payments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Одна виплата, що здійснюється за певним договором за визначений період.</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Розміщення нової версії ресурсу. Можливе створення нового ресурсу щомісяця, щокварталу або щороку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hyperlink r:id="rId18">
              <w:r w:rsidDel="00000000" w:rsidR="00000000" w:rsidRPr="00000000">
                <w:rPr>
                  <w:color w:val="1155cc"/>
                  <w:u w:val="single"/>
                  <w:rtl w:val="0"/>
                </w:rPr>
                <w:t xml:space="preserve">Payments.xlsx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pPr>
            <w:hyperlink r:id="rId19">
              <w:r w:rsidDel="00000000" w:rsidR="00000000" w:rsidRPr="00000000">
                <w:rPr>
                  <w:color w:val="1155cc"/>
                  <w:u w:val="single"/>
                  <w:rtl w:val="0"/>
                </w:rPr>
                <w:t xml:space="preserve">Example</w:t>
              </w:r>
            </w:hyperlink>
            <w:hyperlink r:id="rId20">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pPr>
            <w:hyperlink r:id="rId21">
              <w:r w:rsidDel="00000000" w:rsidR="00000000" w:rsidRPr="00000000">
                <w:rPr>
                  <w:color w:val="1155cc"/>
                  <w:u w:val="single"/>
                  <w:rtl w:val="0"/>
                </w:rPr>
                <w:t xml:space="preserve">Structure.xlsx</w:t>
              </w:r>
            </w:hyperlink>
            <w:r w:rsidDel="00000000" w:rsidR="00000000" w:rsidRPr="00000000">
              <w:rPr>
                <w:rtl w:val="0"/>
              </w:rPr>
              <w:t xml:space="preserve">, </w:t>
            </w:r>
            <w:hyperlink r:id="rId22">
              <w:r w:rsidDel="00000000" w:rsidR="00000000" w:rsidRPr="00000000">
                <w:rPr>
                  <w:color w:val="1155cc"/>
                  <w:u w:val="single"/>
                  <w:rtl w:val="0"/>
                </w:rPr>
                <w:t xml:space="preserve">Structure.csv</w:t>
              </w:r>
            </w:hyperlink>
            <w:r w:rsidDel="00000000" w:rsidR="00000000" w:rsidRPr="00000000">
              <w:rPr>
                <w:rtl w:val="0"/>
              </w:rPr>
              <w:t xml:space="preserve">, </w:t>
            </w:r>
            <w:hyperlink r:id="rId23">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7">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4">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9">
      <w:pPr>
        <w:tabs>
          <w:tab w:val="right" w:pos="9025"/>
        </w:tabs>
        <w:spacing w:line="276" w:lineRule="auto"/>
        <w:jc w:val="both"/>
        <w:rPr/>
      </w:pPr>
      <w:r w:rsidDel="00000000" w:rsidR="00000000" w:rsidRPr="00000000">
        <w:rPr>
          <w:rtl w:val="0"/>
        </w:rPr>
      </w:r>
    </w:p>
    <w:p w:rsidR="00000000" w:rsidDel="00000000" w:rsidP="00000000" w:rsidRDefault="00000000" w:rsidRPr="00000000" w14:paraId="0000002A">
      <w:pPr>
        <w:tabs>
          <w:tab w:val="right" w:pos="9025"/>
        </w:tabs>
        <w:spacing w:line="276" w:lineRule="auto"/>
        <w:jc w:val="center"/>
        <w:rPr>
          <w:b w:val="1"/>
        </w:rPr>
      </w:pPr>
      <w:r w:rsidDel="00000000" w:rsidR="00000000" w:rsidRPr="00000000">
        <w:rPr>
          <w:b w:val="1"/>
          <w:rtl w:val="0"/>
        </w:rPr>
        <w:t xml:space="preserve">Таблиця 1 — Структура таблиці (ресурсу) Payments</w:t>
      </w:r>
      <w:r w:rsidDel="00000000" w:rsidR="00000000" w:rsidRPr="00000000">
        <w:rPr>
          <w:rtl w:val="0"/>
        </w:rPr>
      </w:r>
    </w:p>
    <w:p w:rsidR="00000000" w:rsidDel="00000000" w:rsidP="00000000" w:rsidRDefault="00000000" w:rsidRPr="00000000" w14:paraId="0000002B">
      <w:pPr>
        <w:tabs>
          <w:tab w:val="right" w:pos="9025"/>
        </w:tabs>
        <w:spacing w:line="276" w:lineRule="auto"/>
        <w:jc w:val="left"/>
        <w:rPr>
          <w:b w:val="1"/>
        </w:rPr>
      </w:pPr>
      <w:r w:rsidDel="00000000" w:rsidR="00000000" w:rsidRPr="00000000">
        <w:rPr>
          <w:rtl w:val="0"/>
        </w:rPr>
      </w:r>
    </w:p>
    <w:tbl>
      <w:tblPr>
        <w:tblStyle w:val="Table4"/>
        <w:tblW w:w="9075.0" w:type="dxa"/>
        <w:jc w:val="left"/>
        <w:tblInd w:w="99.21259842519686"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470"/>
        <w:gridCol w:w="3465"/>
        <w:gridCol w:w="1290"/>
        <w:gridCol w:w="1485"/>
        <w:tblGridChange w:id="0">
          <w:tblGrid>
            <w:gridCol w:w="1365"/>
            <w:gridCol w:w="1470"/>
            <w:gridCol w:w="3465"/>
            <w:gridCol w:w="1290"/>
            <w:gridCol w:w="148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C">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D">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E">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2F">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0">
            <w:pPr>
              <w:widowControl w:val="0"/>
              <w:spacing w:line="276" w:lineRule="auto"/>
              <w:rPr>
                <w:b w:val="1"/>
              </w:rPr>
            </w:pPr>
            <w:r w:rsidDel="00000000" w:rsidR="00000000" w:rsidRPr="00000000">
              <w:rPr>
                <w:b w:val="1"/>
                <w:rtl w:val="0"/>
              </w:rPr>
              <w:t xml:space="preserve">Вимога заповнення (required)</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1">
            <w:pPr>
              <w:widowControl w:val="0"/>
              <w:spacing w:line="276" w:lineRule="auto"/>
              <w:rPr/>
            </w:pP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2">
            <w:pPr>
              <w:widowControl w:val="0"/>
              <w:spacing w:line="276" w:lineRule="auto"/>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Ідентифікатором платежу може бути номер квитанції або будь-яка інша унікальна комбінація літер і цифр. Наприклад: 123456-123.</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5">
            <w:pPr>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contractNumber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Номер договору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Номер договору, за яким надходить оплата (без знаку «№»). Наприклад: 123-45.</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A">
            <w:pPr>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contractDateSigned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C">
            <w:pPr>
              <w:widowControl w:val="0"/>
              <w:spacing w:line="276" w:lineRule="auto"/>
              <w:rPr/>
            </w:pPr>
            <w:r w:rsidDel="00000000" w:rsidR="00000000" w:rsidRPr="00000000">
              <w:rPr>
                <w:rtl w:val="0"/>
              </w:rPr>
              <w:t xml:space="preserve">Дата підписання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D">
            <w:pPr>
              <w:widowControl w:val="0"/>
              <w:spacing w:line="276" w:lineRule="auto"/>
              <w:rPr/>
            </w:pPr>
            <w:r w:rsidDel="00000000" w:rsidR="00000000" w:rsidRPr="00000000">
              <w:rPr>
                <w:rtl w:val="0"/>
              </w:rPr>
              <w:t xml:space="preserve">Дата підписання договору у форматі ISO 8601 (рррр-мм-дд). Наприклад: 2018-06-01.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3F">
            <w:pPr>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contractCustodianName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1">
            <w:pPr>
              <w:widowControl w:val="0"/>
              <w:spacing w:line="276" w:lineRule="auto"/>
              <w:rPr/>
            </w:pPr>
            <w:r w:rsidDel="00000000" w:rsidR="00000000" w:rsidRPr="00000000">
              <w:rPr>
                <w:rtl w:val="0"/>
              </w:rPr>
              <w:t xml:space="preserve">Назва управителя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2">
            <w:pPr>
              <w:widowControl w:val="0"/>
              <w:spacing w:line="276" w:lineRule="auto"/>
              <w:rPr/>
            </w:pPr>
            <w:r w:rsidDel="00000000" w:rsidR="00000000" w:rsidRPr="00000000">
              <w:rPr>
                <w:rtl w:val="0"/>
              </w:rPr>
              <w:t xml:space="preserve">Повна назва юридичної особи (сторони договору) уповноваженої на управління майном. Наприклад: КП «Регулювання орендних відносин».</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4">
            <w:pPr>
              <w:spacing w:line="276" w:lineRule="auto"/>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contractCustodianID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6">
            <w:pPr>
              <w:widowControl w:val="0"/>
              <w:spacing w:line="276" w:lineRule="auto"/>
              <w:rPr/>
            </w:pPr>
            <w:r w:rsidDel="00000000" w:rsidR="00000000" w:rsidRPr="00000000">
              <w:rPr>
                <w:rtl w:val="0"/>
              </w:rPr>
              <w:t xml:space="preserve">Ідентифікатор управителя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7">
            <w:pPr>
              <w:widowControl w:val="0"/>
              <w:spacing w:line="276" w:lineRule="auto"/>
              <w:rPr/>
            </w:pPr>
            <w:r w:rsidDel="00000000" w:rsidR="00000000" w:rsidRPr="00000000">
              <w:rPr>
                <w:rtl w:val="0"/>
              </w:rPr>
              <w:t xml:space="preserve">Код ЄДРПОУ юридичної особи (сторони договору) уповноваженої на управління майном. Наприклад: 01411082.</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8">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9">
            <w:pPr>
              <w:spacing w:line="276" w:lineRule="auto"/>
              <w:rPr/>
            </w:pPr>
            <w:r w:rsidDel="00000000" w:rsidR="00000000" w:rsidRPr="00000000">
              <w:rPr>
                <w:rtl w:val="0"/>
              </w:rPr>
              <w:t xml:space="preserve">Істина (true)</w:t>
            </w:r>
          </w:p>
        </w:tc>
      </w:tr>
      <w:tr>
        <w:trPr>
          <w:trHeight w:val="236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contractUserName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Назва користувача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Повна назва юридичної особи або прізвище, ім'я, по батькові фізичної особи-підприємця (сторони договору), яка є користувачем (орендарем) об'єкта комунальної власності: Наприклад: Бондар Олександр Анатолійович.</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D">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E">
            <w:pPr>
              <w:spacing w:line="276" w:lineRule="auto"/>
              <w:rPr/>
            </w:pPr>
            <w:r w:rsidDel="00000000" w:rsidR="00000000" w:rsidRPr="00000000">
              <w:rPr>
                <w:rtl w:val="0"/>
              </w:rPr>
              <w:t xml:space="preserve">Істина (true)</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contractUserID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Ідентифікатор користувача</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Код ЄДРПОУ юридичної особи (сторони договору), яка є користувачем (орендарем) об'єкта комунальної власності. У випадку ФОП дані про РНОКПП знеособлюються. Наприклад: 01411082.</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3">
            <w:pPr>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periodStartDate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Початок періоду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6">
            <w:pPr>
              <w:widowControl w:val="0"/>
              <w:spacing w:line="276" w:lineRule="auto"/>
              <w:rPr/>
            </w:pPr>
            <w:r w:rsidDel="00000000" w:rsidR="00000000" w:rsidRPr="00000000">
              <w:rPr>
                <w:rtl w:val="0"/>
              </w:rPr>
              <w:t xml:space="preserve">Дата початку періоду, за який здійснюється оплата у форматі ISO 8601 (рррр-мм-дд). Якщо оплата здійснюється щомісяця, то зазначається перше число місяця. Наприклад: 2018-06-01.</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8">
            <w:pPr>
              <w:spacing w:line="276" w:lineRule="auto"/>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periodEndDate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A">
            <w:pPr>
              <w:widowControl w:val="0"/>
              <w:spacing w:line="276" w:lineRule="auto"/>
              <w:rPr/>
            </w:pPr>
            <w:r w:rsidDel="00000000" w:rsidR="00000000" w:rsidRPr="00000000">
              <w:rPr>
                <w:rtl w:val="0"/>
              </w:rPr>
              <w:t xml:space="preserve">Кінець періоду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t xml:space="preserve">Дата завершення періоду, за який здійснюється оплата у форматі ISO 8601 (рррр-мм-дд). Якщо оплата здійснюється щомісяця, то зазначається останнє число місяця. Наприклад: 2018-06-30.</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C">
            <w:pPr>
              <w:widowControl w:val="0"/>
              <w:spacing w:line="276" w:lineRule="auto"/>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D">
            <w:pPr>
              <w:spacing w:line="276" w:lineRule="auto"/>
              <w:rPr/>
            </w:pPr>
            <w:r w:rsidDel="00000000" w:rsidR="00000000" w:rsidRPr="00000000">
              <w:rPr>
                <w:rtl w:val="0"/>
              </w:rPr>
              <w:t xml:space="preserve">Істина (true)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valueAmaunt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Сума за договором</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Сума, що нараховується відповідно до умов договору у гривнях без зазначення валюти («грн», «UAH»). Наприклад: 2225.50.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2">
            <w:pPr>
              <w:spacing w:line="276" w:lineRule="auto"/>
              <w:rPr/>
            </w:pPr>
            <w:r w:rsidDel="00000000" w:rsidR="00000000" w:rsidRPr="00000000">
              <w:rPr>
                <w:rtl w:val="0"/>
              </w:rPr>
              <w:t xml:space="preserve">Істина (true)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3">
            <w:pPr>
              <w:widowControl w:val="0"/>
              <w:spacing w:line="276" w:lineRule="auto"/>
              <w:rPr/>
            </w:pPr>
            <w:r w:rsidDel="00000000" w:rsidR="00000000" w:rsidRPr="00000000">
              <w:rPr>
                <w:rtl w:val="0"/>
              </w:rPr>
              <w:t xml:space="preserve">paymentEndDate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t xml:space="preserve">Кінцева дата сплати</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Якщо договором передбачений кінцевий термін, до якого має відбутися сплата (наприклад, до 15-го числа поточного місяця), необхідно вказати його дату у форматі ISO 8601 (рррр-мм-дд). Наприклад: 2018-10-15. Якщо кінцева дата сплати відсутня, вказати null.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7">
            <w:pPr>
              <w:spacing w:line="276" w:lineRule="auto"/>
              <w:rPr/>
            </w:pPr>
            <w:r w:rsidDel="00000000" w:rsidR="00000000" w:rsidRPr="00000000">
              <w:rPr>
                <w:rtl w:val="0"/>
              </w:rPr>
              <w:t xml:space="preserve">Хибність (false)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8">
            <w:pPr>
              <w:widowControl w:val="0"/>
              <w:spacing w:line="276" w:lineRule="auto"/>
              <w:rPr/>
            </w:pPr>
            <w:r w:rsidDel="00000000" w:rsidR="00000000" w:rsidRPr="00000000">
              <w:rPr>
                <w:rtl w:val="0"/>
              </w:rPr>
              <w:t xml:space="preserve">paymentDate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Дата платежу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Дата надходження платежу у форматі ISO 8601 (рррр-мм-дд). Наприклад: 2018-06-01. Якщо платіж не надійшов, вказати </w:t>
            </w:r>
            <w:commentRangeStart w:id="0"/>
            <w:r w:rsidDel="00000000" w:rsidR="00000000" w:rsidRPr="00000000">
              <w:rPr>
                <w:rtl w:val="0"/>
              </w:rPr>
              <w:t xml:space="preserve">null</w:t>
            </w:r>
            <w:commentRangeEnd w:id="0"/>
            <w:r w:rsidDel="00000000" w:rsidR="00000000" w:rsidRPr="00000000">
              <w:commentReference w:id="0"/>
            </w:r>
            <w:r w:rsidDel="00000000" w:rsidR="00000000" w:rsidRPr="00000000">
              <w:rPr>
                <w:rtl w:val="0"/>
              </w:rPr>
              <w:t xml:space="preserv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Хибність (false)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paymentValueAmaunt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Сума платежу</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Сума платежу у гривнях без значення валюти («грн», «UAH»). Наприклад: 2225,50.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 Якщо платіж не надійшов, вказати </w:t>
            </w:r>
            <w:commentRangeStart w:id="1"/>
            <w:commentRangeStart w:id="2"/>
            <w:r w:rsidDel="00000000" w:rsidR="00000000" w:rsidRPr="00000000">
              <w:rPr>
                <w:rtl w:val="0"/>
              </w:rPr>
              <w:t xml:space="preserve">null</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Хибність (false)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debtValueAmount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Заборгованість</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Наявна заборгованість у гривнях без значення валюти («грн», «UAH»). Наприклад: 2225,50.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 Якщо заборгованість відсутня, вказати 0.</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Істина (true)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penyValueAmount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Пеня</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Нарахована пеня у гривнях без значення валюти («грн», «UAH»). Наприклад: 2225,50.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 Якщо пеня відсутня, вказати 0.</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Істина (true)</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penaltyValueAmount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Штраф</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Нарахований штраф у гривнях без значення валюти («грн», «UAH»). Наприклад: 2225,50.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 Якщо штрафи відсутні, вказати 0.</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Десятковий дріб (decimal)</w:t>
            </w:r>
          </w:p>
        </w:tc>
        <w:tc>
          <w:tcPr>
            <w:tcBorders>
              <w:top w:color="cccccc" w:space="0" w:sz="6" w:val="single"/>
              <w:left w:color="cccccc" w:space="0" w:sz="6" w:val="single"/>
              <w:bottom w:color="cccccc" w:space="0" w:sz="6" w:val="single"/>
              <w:right w:color="cccccc" w:space="0" w:sz="6" w:val="single"/>
            </w:tcBorders>
            <w:tcMar>
              <w:top w:w="99.21259842519686" w:type="dxa"/>
              <w:left w:w="99.21259842519686" w:type="dxa"/>
              <w:bottom w:w="99.21259842519686" w:type="dxa"/>
              <w:right w:w="99.21259842519686"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Істина (true)</w:t>
            </w:r>
          </w:p>
        </w:tc>
      </w:tr>
    </w:tbl>
    <w:p w:rsidR="00000000" w:rsidDel="00000000" w:rsidP="00000000" w:rsidRDefault="00000000" w:rsidRPr="00000000" w14:paraId="00000081">
      <w:pPr>
        <w:spacing w:line="276" w:lineRule="auto"/>
        <w:jc w:val="both"/>
        <w:rPr/>
      </w:pPr>
      <w:r w:rsidDel="00000000" w:rsidR="00000000" w:rsidRPr="00000000">
        <w:rPr>
          <w:rtl w:val="0"/>
        </w:rPr>
      </w:r>
    </w:p>
    <w:p w:rsidR="00000000" w:rsidDel="00000000" w:rsidP="00000000" w:rsidRDefault="00000000" w:rsidRPr="00000000" w14:paraId="00000082">
      <w:pPr>
        <w:pStyle w:val="Heading1"/>
        <w:spacing w:line="276" w:lineRule="auto"/>
        <w:rPr/>
      </w:pPr>
      <w:bookmarkStart w:colFirst="0" w:colLast="0" w:name="_4y2iurc9n0i5"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3">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84">
      <w:pPr>
        <w:spacing w:line="276" w:lineRule="auto"/>
        <w:jc w:val="center"/>
        <w:rPr/>
      </w:pPr>
      <w:r w:rsidDel="00000000" w:rsidR="00000000" w:rsidRPr="00000000">
        <w:rPr>
          <w:rtl w:val="0"/>
        </w:rPr>
      </w:r>
    </w:p>
    <w:p w:rsidR="00000000" w:rsidDel="00000000" w:rsidP="00000000" w:rsidRDefault="00000000" w:rsidRPr="00000000" w14:paraId="00000085">
      <w:pPr>
        <w:spacing w:line="276" w:lineRule="auto"/>
        <w:jc w:val="center"/>
        <w:rPr>
          <w:b w:val="1"/>
        </w:rPr>
      </w:pPr>
      <w:r w:rsidDel="00000000" w:rsidR="00000000" w:rsidRPr="00000000">
        <w:rPr>
          <w:b w:val="1"/>
          <w:rtl w:val="0"/>
        </w:rPr>
        <w:t xml:space="preserve">Таблиця 2 — Приклад паспорта набору даних на data.gov.ua</w:t>
      </w:r>
    </w:p>
    <w:p w:rsidR="00000000" w:rsidDel="00000000" w:rsidP="00000000" w:rsidRDefault="00000000" w:rsidRPr="00000000" w14:paraId="00000086">
      <w:pPr>
        <w:spacing w:line="276" w:lineRule="auto"/>
        <w:jc w:val="center"/>
        <w:rPr>
          <w:b w:val="1"/>
        </w:rPr>
      </w:pPr>
      <w:r w:rsidDel="00000000" w:rsidR="00000000" w:rsidRPr="00000000">
        <w:rPr>
          <w:rtl w:val="0"/>
        </w:rPr>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87">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88">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89">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8A">
            <w:pPr>
              <w:widowControl w:val="0"/>
              <w:spacing w:line="276" w:lineRule="auto"/>
              <w:rPr/>
            </w:pPr>
            <w:r w:rsidDel="00000000" w:rsidR="00000000" w:rsidRPr="00000000">
              <w:rPr>
                <w:rtl w:val="0"/>
              </w:rPr>
              <w:t xml:space="preserve">Планові та фактичні надходження за договорами оренди комунального майна Олександрійської міської ради</w:t>
            </w:r>
          </w:p>
        </w:tc>
      </w:tr>
      <w:tr>
        <w:trPr>
          <w:trHeight w:val="20" w:hRule="atLeast"/>
        </w:trPr>
        <w:tc>
          <w:tcPr/>
          <w:p w:rsidR="00000000" w:rsidDel="00000000" w:rsidP="00000000" w:rsidRDefault="00000000" w:rsidRPr="00000000" w14:paraId="0000008B">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8C">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8D">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8E">
            <w:pPr>
              <w:widowControl w:val="0"/>
              <w:spacing w:line="276" w:lineRule="auto"/>
              <w:rPr/>
            </w:pPr>
            <w:r w:rsidDel="00000000" w:rsidR="00000000" w:rsidRPr="00000000">
              <w:rPr>
                <w:rtl w:val="0"/>
              </w:rPr>
              <w:t xml:space="preserve">Щомісяця</w:t>
            </w:r>
          </w:p>
        </w:tc>
      </w:tr>
      <w:tr>
        <w:tc>
          <w:tcPr/>
          <w:p w:rsidR="00000000" w:rsidDel="00000000" w:rsidP="00000000" w:rsidRDefault="00000000" w:rsidRPr="00000000" w14:paraId="0000008F">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90">
            <w:pPr>
              <w:widowControl w:val="0"/>
              <w:spacing w:line="276" w:lineRule="auto"/>
              <w:rPr/>
            </w:pPr>
            <w:r w:rsidDel="00000000" w:rsidR="00000000" w:rsidRPr="00000000">
              <w:rPr>
                <w:rtl w:val="0"/>
              </w:rPr>
              <w:t xml:space="preserve">Набір містить дані про планові й фактичні надходження від оренди комунальної власності Олександрійської міської ради. Інформація подається по кожному договору у розрізі визначених періодів сплати. Кожен ресурс набору — таблиця за окремий місяць.</w:t>
            </w:r>
          </w:p>
        </w:tc>
      </w:tr>
      <w:tr>
        <w:trPr>
          <w:trHeight w:val="180" w:hRule="atLeast"/>
        </w:trPr>
        <w:tc>
          <w:tcPr/>
          <w:p w:rsidR="00000000" w:rsidDel="00000000" w:rsidP="00000000" w:rsidRDefault="00000000" w:rsidRPr="00000000" w14:paraId="00000091">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92">
            <w:pPr>
              <w:widowControl w:val="0"/>
              <w:spacing w:line="276" w:lineRule="auto"/>
              <w:rPr/>
            </w:pPr>
            <w:r w:rsidDel="00000000" w:rsidR="00000000" w:rsidRPr="00000000">
              <w:rPr>
                <w:rtl w:val="0"/>
              </w:rPr>
              <w:t xml:space="preserve">Закон України «Про місцеве самоврядування в Україні», Закон України «Про оренду державного та комунального майна», Рішення Олександрійської міської ради «Про затвердження Положення про оренду комунальної власності» від 12.04.2017 №1124</w:t>
            </w:r>
          </w:p>
        </w:tc>
      </w:tr>
      <w:tr>
        <w:trPr>
          <w:trHeight w:val="120" w:hRule="atLeast"/>
        </w:trPr>
        <w:tc>
          <w:tcPr/>
          <w:p w:rsidR="00000000" w:rsidDel="00000000" w:rsidP="00000000" w:rsidRDefault="00000000" w:rsidRPr="00000000" w14:paraId="00000093">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94">
            <w:pPr>
              <w:widowControl w:val="0"/>
              <w:spacing w:line="276" w:lineRule="auto"/>
              <w:rPr/>
            </w:pPr>
            <w:r w:rsidDel="00000000" w:rsidR="00000000" w:rsidRPr="00000000">
              <w:rPr>
                <w:rtl w:val="0"/>
              </w:rPr>
              <w:t xml:space="preserve">власність, майно, оренда, користування, власник, користувач, договір, кошти, заборгованість, пеня, штраф, реклама, рекламні засоби, тимчасові споруди, комунальна власність, комунальне майно</w:t>
            </w:r>
          </w:p>
        </w:tc>
      </w:tr>
      <w:tr>
        <w:trPr>
          <w:trHeight w:val="460" w:hRule="atLeast"/>
        </w:trPr>
        <w:tc>
          <w:tcPr/>
          <w:p w:rsidR="00000000" w:rsidDel="00000000" w:rsidP="00000000" w:rsidRDefault="00000000" w:rsidRPr="00000000" w14:paraId="00000095">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96">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97">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98">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99">
      <w:pPr>
        <w:spacing w:line="276" w:lineRule="auto"/>
        <w:rPr>
          <w:b w:val="1"/>
        </w:rPr>
      </w:pPr>
      <w:r w:rsidDel="00000000" w:rsidR="00000000" w:rsidRPr="00000000">
        <w:rPr>
          <w:rtl w:val="0"/>
        </w:rPr>
      </w:r>
    </w:p>
    <w:p w:rsidR="00000000" w:rsidDel="00000000" w:rsidP="00000000" w:rsidRDefault="00000000" w:rsidRPr="00000000" w14:paraId="0000009A">
      <w:pPr>
        <w:spacing w:line="276" w:lineRule="auto"/>
        <w:jc w:val="center"/>
        <w:rPr/>
      </w:pPr>
      <w:r w:rsidDel="00000000" w:rsidR="00000000" w:rsidRPr="00000000">
        <w:rPr>
          <w:b w:val="1"/>
          <w:rtl w:val="0"/>
        </w:rPr>
        <w:t xml:space="preserve">Таблиця 3 — Приклад паспорта ресурсу Payments</w:t>
      </w:r>
      <w:r w:rsidDel="00000000" w:rsidR="00000000" w:rsidRPr="00000000">
        <w:rPr>
          <w:rtl w:val="0"/>
        </w:rPr>
      </w:r>
    </w:p>
    <w:p w:rsidR="00000000" w:rsidDel="00000000" w:rsidP="00000000" w:rsidRDefault="00000000" w:rsidRPr="00000000" w14:paraId="0000009B">
      <w:pPr>
        <w:spacing w:line="276" w:lineRule="auto"/>
        <w:rPr>
          <w:b w:val="1"/>
        </w:rPr>
      </w:pPr>
      <w:r w:rsidDel="00000000" w:rsidR="00000000" w:rsidRPr="00000000">
        <w:rPr>
          <w:rtl w:val="0"/>
        </w:rPr>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9C">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9D">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9E">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9F">
            <w:pPr>
              <w:widowControl w:val="0"/>
              <w:spacing w:line="276" w:lineRule="auto"/>
              <w:rPr/>
            </w:pPr>
            <w:r w:rsidDel="00000000" w:rsidR="00000000" w:rsidRPr="00000000">
              <w:rPr>
                <w:rtl w:val="0"/>
              </w:rPr>
              <w:t xml:space="preserve">Payments-2018.xlsx</w:t>
            </w:r>
          </w:p>
        </w:tc>
      </w:tr>
      <w:tr>
        <w:tc>
          <w:tcPr/>
          <w:p w:rsidR="00000000" w:rsidDel="00000000" w:rsidP="00000000" w:rsidRDefault="00000000" w:rsidRPr="00000000" w14:paraId="000000A0">
            <w:pPr>
              <w:spacing w:line="276" w:lineRule="auto"/>
              <w:rPr/>
            </w:pPr>
            <w:r w:rsidDel="00000000" w:rsidR="00000000" w:rsidRPr="00000000">
              <w:rPr>
                <w:rtl w:val="0"/>
              </w:rPr>
              <w:t xml:space="preserve">Опис</w:t>
            </w:r>
          </w:p>
        </w:tc>
        <w:tc>
          <w:tcPr/>
          <w:p w:rsidR="00000000" w:rsidDel="00000000" w:rsidP="00000000" w:rsidRDefault="00000000" w:rsidRPr="00000000" w14:paraId="000000A1">
            <w:pPr>
              <w:widowControl w:val="0"/>
              <w:spacing w:line="276" w:lineRule="auto"/>
              <w:rPr/>
            </w:pPr>
            <w:r w:rsidDel="00000000" w:rsidR="00000000" w:rsidRPr="00000000">
              <w:rPr>
                <w:rtl w:val="0"/>
              </w:rPr>
              <w:t xml:space="preserve">Планові й фактичні надходження від оренди комунальної власності за 2018 рік. Таблиця включає номер та дату договору, ідентифікаційні дані сторін, період, планову і фактичну суму надходжень за договором, заборгованість, пеню, штрафи та інше.</w:t>
            </w:r>
          </w:p>
        </w:tc>
      </w:tr>
      <w:tr>
        <w:trPr>
          <w:trHeight w:val="160" w:hRule="atLeast"/>
        </w:trPr>
        <w:tc>
          <w:tcPr/>
          <w:p w:rsidR="00000000" w:rsidDel="00000000" w:rsidP="00000000" w:rsidRDefault="00000000" w:rsidRPr="00000000" w14:paraId="000000A2">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A3">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A4">
      <w:pPr>
        <w:pStyle w:val="Heading1"/>
        <w:tabs>
          <w:tab w:val="right" w:pos="9025"/>
        </w:tabs>
        <w:spacing w:line="276" w:lineRule="auto"/>
        <w:rPr/>
      </w:pPr>
      <w:bookmarkStart w:colFirst="0" w:colLast="0" w:name="_tq7gb8lofe7t" w:id="5"/>
      <w:bookmarkEnd w:id="5"/>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sectPr>
      <w:footerReference r:id="rId25" w:type="default"/>
      <w:pgSz w:h="16838" w:w="11906"/>
      <w:pgMar w:bottom="1417.3228346456694" w:top="1417.3228346456694" w:left="1417.3228346456694" w:right="1417.322834645669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Ксюша Джабраілова" w:id="1" w:date="2019-10-31T13:31:40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 заповнити поле в наступному випадку?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Платежі надійшли за одним чинним договором: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2019-09-03-8000,00- оренда,</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2019-09-03-2000,00- пеня,</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2019-09-24-8000,00- оренда.</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Частота оновлень інформації передбачається щомісяця.</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Яку суму вірно вважати сумою платежу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 правильно в полі зазначити  суму платежу 16000,00 - тільки оренда, чи  разом 18000,00?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 потрібно вносити кожен платіж окремою строкою?</w:t>
      </w:r>
    </w:p>
  </w:comment>
  <w:comment w:author="Bohdan Tyshkevych" w:id="2" w:date="2019-12-02T13:28:14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Думаю, що найкраще зазначити все одним платежем. Таблиця побудована так, що навіть без призначення платужу легко визначити де було погашення пені, а де була переплата.</w:t>
      </w:r>
    </w:p>
  </w:comment>
  <w:comment w:author="Ксюша Джабраілова" w:id="0" w:date="2019-10-31T13:06:42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 заповнити поле в наступному випадку?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Платежі надійшли за одним чинном договором: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2019-09-03-8000,00- оренда,</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2019-09-03-2000,00- пеня,</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2019-09-24-8000,00- оренда.</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Частота оновлень інформації передбачається щомісяця.</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Яку дату вірно вважати датою надходження платежу?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 правильно в полі зазначити  дату 2019-10-24?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 потрібно вносити кожен платіж окремою строкою?</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apas-opendata/decreet-835-mun/raw/master/property/payments/Example.xlsx" TargetMode="External"/><Relationship Id="rId22" Type="http://schemas.openxmlformats.org/officeDocument/2006/relationships/hyperlink" Target="https://raw.githubusercontent.com/tapas-opendata/decreet-835-mun/master/property/payments/Structure.csv" TargetMode="External"/><Relationship Id="rId21" Type="http://schemas.openxmlformats.org/officeDocument/2006/relationships/hyperlink" Target="https://github.com/tapas-opendata/decreet-835-mun/raw/master/property/payments/Structure.xlsx" TargetMode="External"/><Relationship Id="rId24" Type="http://schemas.openxmlformats.org/officeDocument/2006/relationships/hyperlink" Target="https://docs.ckan.org/en/latest/maintaining/datastore.html" TargetMode="External"/><Relationship Id="rId23" Type="http://schemas.openxmlformats.org/officeDocument/2006/relationships/hyperlink" Target="https://raw.githubusercontent.com/tapas-opendata/decreet-835-mun/master/property/payments/Structure.js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zakon.rada.gov.ua/laws/show/270/96-%D0%B2%D1%80"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zakon.rada.gov.ua/laws/show/280/97-%D0%B2%D1%80" TargetMode="External"/><Relationship Id="rId8" Type="http://schemas.openxmlformats.org/officeDocument/2006/relationships/hyperlink" Target="https://zakon.rada.gov.ua/laws/show/2269-12" TargetMode="External"/><Relationship Id="rId11" Type="http://schemas.openxmlformats.org/officeDocument/2006/relationships/hyperlink" Target="https://zakon.rada.gov.ua/laws/show/3038-17" TargetMode="External"/><Relationship Id="rId10" Type="http://schemas.openxmlformats.org/officeDocument/2006/relationships/hyperlink" Target="https://zakon2.rada.gov.ua/laws/show/2067-2003-%D0%BF" TargetMode="External"/><Relationship Id="rId13" Type="http://schemas.openxmlformats.org/officeDocument/2006/relationships/hyperlink" Target="https://zakon.rada.gov.ua/laws/show/2269-12" TargetMode="External"/><Relationship Id="rId12" Type="http://schemas.openxmlformats.org/officeDocument/2006/relationships/hyperlink" Target="https://zakon5.rada.gov.ua/laws/show/z1330-11" TargetMode="External"/><Relationship Id="rId15" Type="http://schemas.openxmlformats.org/officeDocument/2006/relationships/hyperlink" Target="https://zakon2.rada.gov.ua/laws/show/2067-2003-%D0%BF" TargetMode="External"/><Relationship Id="rId14" Type="http://schemas.openxmlformats.org/officeDocument/2006/relationships/hyperlink" Target="https://zakon.rada.gov.ua/laws/show/270/96-%D0%B2%D1%80" TargetMode="External"/><Relationship Id="rId17" Type="http://schemas.openxmlformats.org/officeDocument/2006/relationships/hyperlink" Target="https://zakon5.rada.gov.ua/laws/show/z1330-11" TargetMode="External"/><Relationship Id="rId16" Type="http://schemas.openxmlformats.org/officeDocument/2006/relationships/hyperlink" Target="https://zakon.rada.gov.ua/laws/show/3038-17" TargetMode="External"/><Relationship Id="rId19" Type="http://schemas.openxmlformats.org/officeDocument/2006/relationships/hyperlink" Target="https://github.com/tapas-opendata/decreet-835-mun/raw/master/property/payments/Example.xlsx" TargetMode="External"/><Relationship Id="rId18" Type="http://schemas.openxmlformats.org/officeDocument/2006/relationships/hyperlink" Target="https://github.com/tapas-opendata/decreet-835-mun/raw/master/property/payments/Paymen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