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h1ilquxlfms" w:id="0"/>
      <w:bookmarkEnd w:id="0"/>
      <w:r w:rsidDel="00000000" w:rsidR="00000000" w:rsidRPr="00000000">
        <w:rPr>
          <w:rtl w:val="0"/>
        </w:rPr>
        <w:t xml:space="preserve">Перелік об’єктів комунальної власності, які підлягають приватизації</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приватизацію державного і комунального майна» від 18.01.2018 № 2269-VIII</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затвердження Порядку проведення електронних аукціонів для продажу об'єктів малої приватизації та визначення додаткових умов продажу» від 10.05.2018 № 432</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Відповідно до статті 10 Закону України «Про приватизацію державного і комунального майна» перелік об’єктів, які підлягають приватизації, затверджується органами місцевого самоврядування й оприлюднюється на офіційних сайтах місцевих рад та в електронній торговій системі (ProZorro.Продажі).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Затвердження та внесення змін до переліків об’єктів, що підлягають приватизації</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xaq76wc0r2m3"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Порядок приватизації державного й комунального майна (стаття 10 </w:t>
      </w:r>
      <w:hyperlink r:id="rId9">
        <w:r w:rsidDel="00000000" w:rsidR="00000000" w:rsidRPr="00000000">
          <w:rPr>
            <w:color w:val="1155cc"/>
            <w:u w:val="single"/>
            <w:rtl w:val="0"/>
          </w:rPr>
          <w:t xml:space="preserve">Закону України «Про приватизацію державного і комунального майна»</w:t>
        </w:r>
      </w:hyperlink>
      <w:r w:rsidDel="00000000" w:rsidR="00000000" w:rsidRPr="00000000">
        <w:rPr>
          <w:rtl w:val="0"/>
        </w:rPr>
        <w:t xml:space="preserve">) </w:t>
      </w:r>
      <w:r w:rsidDel="00000000" w:rsidR="00000000" w:rsidRPr="00000000">
        <w:rPr>
          <w:rtl w:val="0"/>
        </w:rPr>
        <w:t xml:space="preserve">передбачає оприлюднення переліків об’єктів на офіційних сайтах місцевих рад та в електронній торговій системі (</w:t>
      </w:r>
      <w:hyperlink r:id="rId10">
        <w:r w:rsidDel="00000000" w:rsidR="00000000" w:rsidRPr="00000000">
          <w:rPr>
            <w:color w:val="1155cc"/>
            <w:u w:val="single"/>
            <w:rtl w:val="0"/>
          </w:rPr>
          <w:t xml:space="preserve">ProZorro.Продажі</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Відповідно до пункту 20 Порядку затвердженого </w:t>
      </w:r>
      <w:hyperlink r:id="rId11">
        <w:r w:rsidDel="00000000" w:rsidR="00000000" w:rsidRPr="00000000">
          <w:rPr>
            <w:color w:val="1155cc"/>
            <w:u w:val="single"/>
            <w:rtl w:val="0"/>
          </w:rPr>
          <w:t xml:space="preserve">Постановою КМУ від 10.05.2018 № 432</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орган приватизації через кабінет на електронному майданчику публікує перелік об’єктів, що підлягають приватизації, та/або зміни до нього протягом п’яти робочих днів з дати його затвердження та/або внесення змін до такого переліку.</w:t>
      </w:r>
    </w:p>
    <w:p w:rsidR="00000000" w:rsidDel="00000000" w:rsidP="00000000" w:rsidRDefault="00000000" w:rsidRPr="00000000" w14:paraId="00000015">
      <w:pPr>
        <w:pStyle w:val="Heading1"/>
        <w:spacing w:after="200" w:lineRule="auto"/>
        <w:rPr/>
      </w:pPr>
      <w:bookmarkStart w:colFirst="0" w:colLast="0" w:name="_fz3f2bpqvb5g"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6">
      <w:pPr>
        <w:rPr/>
      </w:pPr>
      <w:r w:rsidDel="00000000" w:rsidR="00000000" w:rsidRPr="00000000">
        <w:rPr>
          <w:rtl w:val="0"/>
        </w:rPr>
        <w:t xml:space="preserve">Дані набору розміщуються в системі </w:t>
      </w:r>
      <w:hyperlink r:id="rId12">
        <w:r w:rsidDel="00000000" w:rsidR="00000000" w:rsidRPr="00000000">
          <w:rPr>
            <w:color w:val="1155cc"/>
            <w:u w:val="single"/>
            <w:rtl w:val="0"/>
          </w:rPr>
          <w:t xml:space="preserve">ProZorro.Продажі</w:t>
        </w:r>
      </w:hyperlink>
      <w:r w:rsidDel="00000000" w:rsidR="00000000" w:rsidRPr="00000000">
        <w:rPr>
          <w:rtl w:val="0"/>
        </w:rPr>
        <w:t xml:space="preserve"> й доступні в машиночитаному форматі через інтерфейс прикладного програмування (API). Для уникнення дублювання інформації на data.gov.ua достатньо оприлюднити перелік унікальних кодів, присвоєних торговою системою, та посилань на веб-сторінки об’єктів.</w:t>
      </w:r>
    </w:p>
    <w:p w:rsidR="00000000" w:rsidDel="00000000" w:rsidP="00000000" w:rsidRDefault="00000000" w:rsidRPr="00000000" w14:paraId="00000017">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Один об’єкт приватизації відповідно до частини 1 статті 4 та статті 5 Закон України «Про приватизацію державного і комунального майна»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hyperlink r:id="rId13">
              <w:r w:rsidDel="00000000" w:rsidR="00000000" w:rsidRPr="00000000">
                <w:rPr>
                  <w:color w:val="1155cc"/>
                  <w:u w:val="single"/>
                  <w:rtl w:val="0"/>
                </w:rPr>
                <w:t xml:space="preserve">List.xlsx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hyperlink r:id="rId14">
              <w:r w:rsidDel="00000000" w:rsidR="00000000" w:rsidRPr="00000000">
                <w:rPr>
                  <w:color w:val="1155cc"/>
                  <w:u w:val="single"/>
                  <w:rtl w:val="0"/>
                </w:rPr>
                <w:t xml:space="preserve">Example</w:t>
              </w:r>
            </w:hyperlink>
            <w:hyperlink r:id="rId1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16">
              <w:r w:rsidDel="00000000" w:rsidR="00000000" w:rsidRPr="00000000">
                <w:rPr>
                  <w:color w:val="1155cc"/>
                  <w:u w:val="single"/>
                  <w:rtl w:val="0"/>
                </w:rPr>
                <w:t xml:space="preserve">Structure.xlsx</w:t>
              </w:r>
            </w:hyperlink>
            <w:r w:rsidDel="00000000" w:rsidR="00000000" w:rsidRPr="00000000">
              <w:rPr>
                <w:rtl w:val="0"/>
              </w:rPr>
              <w:t xml:space="preserve">, </w:t>
            </w:r>
            <w:hyperlink r:id="rId17">
              <w:r w:rsidDel="00000000" w:rsidR="00000000" w:rsidRPr="00000000">
                <w:rPr>
                  <w:color w:val="1155cc"/>
                  <w:u w:val="single"/>
                  <w:rtl w:val="0"/>
                </w:rPr>
                <w:t xml:space="preserve">Structure.csv</w:t>
              </w:r>
            </w:hyperlink>
            <w:r w:rsidDel="00000000" w:rsidR="00000000" w:rsidRPr="00000000">
              <w:rPr>
                <w:rtl w:val="0"/>
              </w:rPr>
              <w:t xml:space="preserve">, </w:t>
            </w:r>
            <w:hyperlink r:id="rId1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9">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A">
      <w:pPr>
        <w:tabs>
          <w:tab w:val="right" w:pos="9025"/>
        </w:tabs>
        <w:spacing w:line="276" w:lineRule="auto"/>
        <w:jc w:val="both"/>
        <w:rPr/>
      </w:pPr>
      <w:r w:rsidDel="00000000" w:rsidR="00000000" w:rsidRPr="00000000">
        <w:rPr>
          <w:rtl w:val="0"/>
        </w:rPr>
      </w:r>
    </w:p>
    <w:p w:rsidR="00000000" w:rsidDel="00000000" w:rsidP="00000000" w:rsidRDefault="00000000" w:rsidRPr="00000000" w14:paraId="0000002B">
      <w:pPr>
        <w:tabs>
          <w:tab w:val="right" w:pos="9025"/>
        </w:tabs>
        <w:spacing w:after="200" w:line="276" w:lineRule="auto"/>
        <w:jc w:val="center"/>
        <w:rPr>
          <w:b w:val="1"/>
        </w:rPr>
      </w:pPr>
      <w:r w:rsidDel="00000000" w:rsidR="00000000" w:rsidRPr="00000000">
        <w:rPr>
          <w:b w:val="1"/>
          <w:rtl w:val="0"/>
        </w:rPr>
        <w:t xml:space="preserve">Таблиця 1 — Структура таблиці (ресурсу) List</w:t>
      </w:r>
    </w:p>
    <w:tbl>
      <w:tblPr>
        <w:tblStyle w:val="Table4"/>
        <w:tblW w:w="9075.0"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70"/>
        <w:gridCol w:w="3465"/>
        <w:gridCol w:w="1290"/>
        <w:gridCol w:w="1485"/>
        <w:tblGridChange w:id="0">
          <w:tblGrid>
            <w:gridCol w:w="1365"/>
            <w:gridCol w:w="1470"/>
            <w:gridCol w:w="3465"/>
            <w:gridCol w:w="1290"/>
            <w:gridCol w:w="148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D">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E">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1">
            <w:pPr>
              <w:widowControl w:val="0"/>
              <w:rPr/>
            </w:pPr>
            <w:r w:rsidDel="00000000" w:rsidR="00000000" w:rsidRPr="00000000">
              <w:rPr>
                <w:rtl w:val="0"/>
              </w:rPr>
              <w:t xml:space="preserve">ocid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2">
            <w:pPr>
              <w:widowControl w:val="0"/>
              <w:rPr/>
            </w:pPr>
            <w:r w:rsidDel="00000000" w:rsidR="00000000" w:rsidRPr="00000000">
              <w:rPr>
                <w:rtl w:val="0"/>
              </w:rPr>
              <w:t xml:space="preserve">Код</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3">
            <w:pPr>
              <w:widowControl w:val="0"/>
              <w:rPr/>
            </w:pPr>
            <w:r w:rsidDel="00000000" w:rsidR="00000000" w:rsidRPr="00000000">
              <w:rPr>
                <w:rtl w:val="0"/>
              </w:rPr>
              <w:t xml:space="preserve">Унікальний код об’єкта, присвоєний торговою системою. Наприклад: UA-AR-P-2019-01-01-000111-1.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4">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5">
            <w:pPr>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6">
            <w:pPr>
              <w:widowControl w:val="0"/>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7">
            <w:pPr>
              <w:widowControl w:val="0"/>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8">
            <w:pPr>
              <w:widowControl w:val="0"/>
              <w:rPr/>
            </w:pPr>
            <w:r w:rsidDel="00000000" w:rsidR="00000000" w:rsidRPr="00000000">
              <w:rPr>
                <w:rtl w:val="0"/>
              </w:rPr>
              <w:t xml:space="preserve">Назва об’єкта. Наприклад: Підвальне приміщення.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A">
            <w:pPr>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B">
            <w:pPr>
              <w:widowControl w:val="0"/>
              <w:rPr/>
            </w:pPr>
            <w:r w:rsidDel="00000000" w:rsidR="00000000" w:rsidRPr="00000000">
              <w:rPr>
                <w:rtl w:val="0"/>
              </w:rPr>
              <w:t xml:space="preserve">url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C">
            <w:pPr>
              <w:widowControl w:val="0"/>
              <w:rPr/>
            </w:pPr>
            <w:r w:rsidDel="00000000" w:rsidR="00000000" w:rsidRPr="00000000">
              <w:rPr>
                <w:rtl w:val="0"/>
              </w:rPr>
              <w:t xml:space="preserve">Посилання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D">
            <w:pPr>
              <w:widowControl w:val="0"/>
              <w:rPr/>
            </w:pPr>
            <w:r w:rsidDel="00000000" w:rsidR="00000000" w:rsidRPr="00000000">
              <w:rPr>
                <w:rtl w:val="0"/>
              </w:rPr>
              <w:t xml:space="preserve">Посилання на веб-сторінку з інформацією про об’єкт на ProZorro.Продажі або електронному майданчику. Наприклад: https://prozorro.sale/ssp_object/UA-AR-P-2019-01-01-000001-1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E">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F">
            <w:pPr>
              <w:widowControl w:val="0"/>
              <w:rPr/>
            </w:pPr>
            <w:r w:rsidDel="00000000" w:rsidR="00000000" w:rsidRPr="00000000">
              <w:rPr>
                <w:rtl w:val="0"/>
              </w:rPr>
              <w:t xml:space="preserve">Істина (true)</w:t>
            </w:r>
          </w:p>
        </w:tc>
      </w:tr>
    </w:tbl>
    <w:p w:rsidR="00000000" w:rsidDel="00000000" w:rsidP="00000000" w:rsidRDefault="00000000" w:rsidRPr="00000000" w14:paraId="00000040">
      <w:pPr>
        <w:pStyle w:val="Heading1"/>
        <w:rPr/>
      </w:pPr>
      <w:bookmarkStart w:colFirst="0" w:colLast="0" w:name="_4y2iurc9n0i5"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Таблиця 2 — Приклад паспорта набору даних на data.gov.ua</w:t>
      </w:r>
    </w:p>
    <w:p w:rsidR="00000000" w:rsidDel="00000000" w:rsidP="00000000" w:rsidRDefault="00000000" w:rsidRPr="00000000" w14:paraId="00000044">
      <w:pPr>
        <w:jc w:val="center"/>
        <w:rPr>
          <w:b w:val="1"/>
        </w:rPr>
      </w:pPr>
      <w:r w:rsidDel="00000000" w:rsidR="00000000" w:rsidRPr="00000000">
        <w:rPr>
          <w:rtl w:val="0"/>
        </w:rPr>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45">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46">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47">
            <w:pPr>
              <w:rPr/>
            </w:pPr>
            <w:r w:rsidDel="00000000" w:rsidR="00000000" w:rsidRPr="00000000">
              <w:rPr>
                <w:rtl w:val="0"/>
              </w:rPr>
              <w:t xml:space="preserve">Назва набору</w:t>
            </w:r>
          </w:p>
        </w:tc>
        <w:tc>
          <w:tcPr/>
          <w:p w:rsidR="00000000" w:rsidDel="00000000" w:rsidP="00000000" w:rsidRDefault="00000000" w:rsidRPr="00000000" w14:paraId="00000048">
            <w:pPr>
              <w:widowControl w:val="0"/>
              <w:rPr/>
            </w:pPr>
            <w:r w:rsidDel="00000000" w:rsidR="00000000" w:rsidRPr="00000000">
              <w:rPr>
                <w:rtl w:val="0"/>
              </w:rPr>
              <w:t xml:space="preserve">Перелік об’єктів комунальної власності Полтавської міської ради, які підлягають приватизації</w:t>
            </w:r>
          </w:p>
        </w:tc>
      </w:tr>
      <w:tr>
        <w:trPr>
          <w:trHeight w:val="20" w:hRule="atLeast"/>
        </w:trPr>
        <w:tc>
          <w:tcPr/>
          <w:p w:rsidR="00000000" w:rsidDel="00000000" w:rsidP="00000000" w:rsidRDefault="00000000" w:rsidRPr="00000000" w14:paraId="00000049">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4A">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4B">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4C">
            <w:pPr>
              <w:widowControl w:val="0"/>
              <w:rPr/>
            </w:pPr>
            <w:r w:rsidDel="00000000" w:rsidR="00000000" w:rsidRPr="00000000">
              <w:rPr>
                <w:rtl w:val="0"/>
              </w:rPr>
              <w:t xml:space="preserve">У випадку внесення змін</w:t>
            </w:r>
            <w:r w:rsidDel="00000000" w:rsidR="00000000" w:rsidRPr="00000000">
              <w:rPr>
                <w:rtl w:val="0"/>
              </w:rPr>
            </w:r>
          </w:p>
        </w:tc>
      </w:tr>
      <w:tr>
        <w:tc>
          <w:tcPr/>
          <w:p w:rsidR="00000000" w:rsidDel="00000000" w:rsidP="00000000" w:rsidRDefault="00000000" w:rsidRPr="00000000" w14:paraId="0000004D">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4E">
            <w:pPr>
              <w:widowControl w:val="0"/>
              <w:rPr/>
            </w:pPr>
            <w:r w:rsidDel="00000000" w:rsidR="00000000" w:rsidRPr="00000000">
              <w:rPr>
                <w:rtl w:val="0"/>
              </w:rPr>
              <w:t xml:space="preserve">Набір містить перелік об’єктів комунальної власності Полтавської міської ради, які підлягають приватизації, оприлюднений в електронній торговій системі ProZorro.Продажі.</w:t>
            </w:r>
          </w:p>
        </w:tc>
      </w:tr>
      <w:tr>
        <w:trPr>
          <w:trHeight w:val="180" w:hRule="atLeast"/>
        </w:trPr>
        <w:tc>
          <w:tcPr/>
          <w:p w:rsidR="00000000" w:rsidDel="00000000" w:rsidP="00000000" w:rsidRDefault="00000000" w:rsidRPr="00000000" w14:paraId="0000004F">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50">
            <w:pPr>
              <w:widowControl w:val="0"/>
              <w:rPr/>
            </w:pPr>
            <w:r w:rsidDel="00000000" w:rsidR="00000000" w:rsidRPr="00000000">
              <w:rPr>
                <w:rtl w:val="0"/>
              </w:rPr>
              <w:t xml:space="preserve">Закон України «Про місцеве самоврядування в Україні» від 21.05.1997 № 280/97-ВР, Закон України «Про приватизацію державного і комунального майна» від 18.01.2018 № 2269-VIII, Постанова КМУ від 10.05.2018 № 432</w:t>
            </w:r>
            <w:r w:rsidDel="00000000" w:rsidR="00000000" w:rsidRPr="00000000">
              <w:rPr>
                <w:rtl w:val="0"/>
              </w:rPr>
            </w:r>
          </w:p>
        </w:tc>
      </w:tr>
      <w:tr>
        <w:trPr>
          <w:trHeight w:val="120" w:hRule="atLeast"/>
        </w:trPr>
        <w:tc>
          <w:tcPr/>
          <w:p w:rsidR="00000000" w:rsidDel="00000000" w:rsidP="00000000" w:rsidRDefault="00000000" w:rsidRPr="00000000" w14:paraId="00000051">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52">
            <w:pPr>
              <w:widowControl w:val="0"/>
              <w:rPr/>
            </w:pPr>
            <w:r w:rsidDel="00000000" w:rsidR="00000000" w:rsidRPr="00000000">
              <w:rPr>
                <w:rtl w:val="0"/>
              </w:rPr>
              <w:t xml:space="preserve">власність, майно, будівля, приміщення, земля, ділянка, приватизація, аукціон, майновий комплекс, комунальне майно</w:t>
            </w:r>
          </w:p>
        </w:tc>
      </w:tr>
      <w:tr>
        <w:trPr>
          <w:trHeight w:val="460" w:hRule="atLeast"/>
        </w:trPr>
        <w:tc>
          <w:tcPr/>
          <w:p w:rsidR="00000000" w:rsidDel="00000000" w:rsidP="00000000" w:rsidRDefault="00000000" w:rsidRPr="00000000" w14:paraId="00000053">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54">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55">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56">
            <w:pPr>
              <w:widowControl w:val="0"/>
              <w:rPr/>
            </w:pPr>
            <w:r w:rsidDel="00000000" w:rsidR="00000000" w:rsidRPr="00000000">
              <w:rPr>
                <w:rtl w:val="0"/>
              </w:rPr>
              <w:t xml:space="preserve">o.symonenko@example.gov.ua</w:t>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b w:val="1"/>
          <w:rtl w:val="0"/>
        </w:rPr>
        <w:t xml:space="preserve">Таблиця 3 — Приклад паспорта ресурсу List</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5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5B">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5C">
            <w:pPr>
              <w:rPr/>
            </w:pPr>
            <w:r w:rsidDel="00000000" w:rsidR="00000000" w:rsidRPr="00000000">
              <w:rPr>
                <w:rtl w:val="0"/>
              </w:rPr>
              <w:t xml:space="preserve">Назва ресурсу</w:t>
            </w:r>
          </w:p>
        </w:tc>
        <w:tc>
          <w:tcPr/>
          <w:p w:rsidR="00000000" w:rsidDel="00000000" w:rsidP="00000000" w:rsidRDefault="00000000" w:rsidRPr="00000000" w14:paraId="0000005D">
            <w:pPr>
              <w:widowControl w:val="0"/>
              <w:rPr/>
            </w:pPr>
            <w:r w:rsidDel="00000000" w:rsidR="00000000" w:rsidRPr="00000000">
              <w:rPr>
                <w:rtl w:val="0"/>
              </w:rPr>
              <w:t xml:space="preserve">List.xlsx</w:t>
            </w:r>
          </w:p>
        </w:tc>
      </w:tr>
      <w:tr>
        <w:tc>
          <w:tcPr/>
          <w:p w:rsidR="00000000" w:rsidDel="00000000" w:rsidP="00000000" w:rsidRDefault="00000000" w:rsidRPr="00000000" w14:paraId="0000005E">
            <w:pPr>
              <w:rPr/>
            </w:pPr>
            <w:r w:rsidDel="00000000" w:rsidR="00000000" w:rsidRPr="00000000">
              <w:rPr>
                <w:rtl w:val="0"/>
              </w:rPr>
              <w:t xml:space="preserve">Опис</w:t>
            </w:r>
          </w:p>
        </w:tc>
        <w:tc>
          <w:tcPr/>
          <w:p w:rsidR="00000000" w:rsidDel="00000000" w:rsidP="00000000" w:rsidRDefault="00000000" w:rsidRPr="00000000" w14:paraId="0000005F">
            <w:pPr>
              <w:widowControl w:val="0"/>
              <w:rPr/>
            </w:pPr>
            <w:r w:rsidDel="00000000" w:rsidR="00000000" w:rsidRPr="00000000">
              <w:rPr>
                <w:rtl w:val="0"/>
              </w:rPr>
              <w:t xml:space="preserve">Таблиця містить унікальний код, назву й посилання на сторінку об’єкта в системі ProZorro.Продажі. Кожним записом в таблиці є окремий об’єкт.</w:t>
            </w:r>
          </w:p>
        </w:tc>
      </w:tr>
      <w:tr>
        <w:trPr>
          <w:trHeight w:val="160" w:hRule="atLeast"/>
        </w:trPr>
        <w:tc>
          <w:tcPr/>
          <w:p w:rsidR="00000000" w:rsidDel="00000000" w:rsidP="00000000" w:rsidRDefault="00000000" w:rsidRPr="00000000" w14:paraId="00000060">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61">
            <w:pPr>
              <w:widowControl w:val="0"/>
              <w:rPr/>
            </w:pPr>
            <w:r w:rsidDel="00000000" w:rsidR="00000000" w:rsidRPr="00000000">
              <w:rPr>
                <w:rtl w:val="0"/>
              </w:rPr>
              <w:t xml:space="preserve">XLSX</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tabs>
          <w:tab w:val="right" w:pos="9025"/>
        </w:tabs>
        <w:spacing w:line="276" w:lineRule="auto"/>
        <w:jc w:val="center"/>
        <w:rPr>
          <w:b w:val="1"/>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zakon.rada.gov.ua/laws/show/uk/432-2018-%D0%BF" TargetMode="External"/><Relationship Id="rId10" Type="http://schemas.openxmlformats.org/officeDocument/2006/relationships/hyperlink" Target="https://prozorro.sale/eaassets/search?source=eaassets&amp;index=5" TargetMode="External"/><Relationship Id="rId13" Type="http://schemas.openxmlformats.org/officeDocument/2006/relationships/hyperlink" Target="https://github.com/tapas-opendata/decreet-835-mun/raw/master/property/privatization/List.xlsx" TargetMode="External"/><Relationship Id="rId12" Type="http://schemas.openxmlformats.org/officeDocument/2006/relationships/hyperlink" Target="https://prozorro.sale/eaassets/search?source=eaassets&amp;index=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269-19" TargetMode="External"/><Relationship Id="rId15" Type="http://schemas.openxmlformats.org/officeDocument/2006/relationships/hyperlink" Target="https://github.com/tapas-opendata/decreet-835-mun/raw/master/property/privatization/Example.xlsx" TargetMode="External"/><Relationship Id="rId14" Type="http://schemas.openxmlformats.org/officeDocument/2006/relationships/hyperlink" Target="https://github.com/tapas-opendata/decreet-835-mun/raw/master/property/privatization/Example.xlsx" TargetMode="External"/><Relationship Id="rId17" Type="http://schemas.openxmlformats.org/officeDocument/2006/relationships/hyperlink" Target="https://raw.githubusercontent.com/tapas-opendata/decreet-835-mun/master/property/privatization/Structure.csv" TargetMode="External"/><Relationship Id="rId16" Type="http://schemas.openxmlformats.org/officeDocument/2006/relationships/hyperlink" Target="https://github.com/tapas-opendata/decreet-835-mun/raw/master/property/privatization/Structure.xlsx" TargetMode="External"/><Relationship Id="rId5" Type="http://schemas.openxmlformats.org/officeDocument/2006/relationships/styles" Target="styles.xml"/><Relationship Id="rId19" Type="http://schemas.openxmlformats.org/officeDocument/2006/relationships/hyperlink" Target="https://docs.ckan.org/en/latest/maintaining/datastore.html"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raw.githubusercontent.com/tapas-opendata/decreet-835-mun/master/property/privatization/Structure.json" TargetMode="External"/><Relationship Id="rId7" Type="http://schemas.openxmlformats.org/officeDocument/2006/relationships/hyperlink" Target="https://zakon.rada.gov.ua/laws/show/2269-19" TargetMode="External"/><Relationship Id="rId8" Type="http://schemas.openxmlformats.org/officeDocument/2006/relationships/hyperlink" Target="https://zakon.rada.gov.ua/laws/show/uk/432-2018-%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