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tabs>
          <w:tab w:val="right" w:pos="9025"/>
        </w:tabs>
        <w:spacing w:line="276" w:lineRule="auto"/>
        <w:rPr/>
      </w:pPr>
      <w:bookmarkStart w:colFirst="0" w:colLast="0" w:name="_17dp8vu" w:id="0"/>
      <w:bookmarkEnd w:id="0"/>
      <w:r w:rsidDel="00000000" w:rsidR="00000000" w:rsidRPr="00000000">
        <w:rPr>
          <w:rtl w:val="0"/>
        </w:rPr>
        <w:t xml:space="preserve">Перелік незадіяних земельних ділянок і майнових об’єктів (приміщень) комунальної форми власності, які можуть бути передані в користування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rPr/>
      </w:pPr>
      <w:bookmarkStart w:colFirst="0" w:colLast="0" w:name="_sbh2n629xkic" w:id="1"/>
      <w:bookmarkEnd w:id="1"/>
      <w:r w:rsidDel="00000000" w:rsidR="00000000" w:rsidRPr="00000000">
        <w:rPr>
          <w:rtl w:val="0"/>
        </w:rPr>
        <w:t xml:space="preserve">1. Коротка довідка</w:t>
      </w:r>
    </w:p>
    <w:tbl>
      <w:tblPr>
        <w:tblStyle w:val="Table1"/>
        <w:tblW w:w="9000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415"/>
        <w:gridCol w:w="6585"/>
        <w:tblGridChange w:id="0">
          <w:tblGrid>
            <w:gridCol w:w="2415"/>
            <w:gridCol w:w="6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Характеристика</w:t>
            </w:r>
          </w:p>
        </w:tc>
      </w:tr>
      <w:tr>
        <w:trPr>
          <w:trHeight w:val="1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Нормативно-правові акти, які визначають створення, збір, зберігання, використання й поширення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Земельний кодекс України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Закон України «Про місцеве самоврядування в Україні»  від 21.05.1997 № 280/97-ВР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Закон України «Про оренду державного та комунального майна»</w:t>
              </w:r>
            </w:hyperlink>
            <w:r w:rsidDel="00000000" w:rsidR="00000000" w:rsidRPr="00000000">
              <w:rPr>
                <w:rtl w:val="0"/>
              </w:rPr>
              <w:t xml:space="preserve">, 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Наказ Мінфіну України «Про затвердження Положення про інвентаризацію активів та зобов’язань» від 02.09.2014 № 879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Постанова КМУ «Про затвердження Порядку проведення інвентаризації земель та визнання такими, що втратили чинність, деяких постанов Кабінету Міністрів України» від 05.06.2019 № 476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Інформація, що створюється, збирається, зберігається </w:t>
            </w:r>
            <w:r w:rsidDel="00000000" w:rsidR="00000000" w:rsidRPr="00000000">
              <w:rPr>
                <w:rtl w:val="0"/>
              </w:rPr>
              <w:t xml:space="preserve">й</w:t>
            </w:r>
            <w:r w:rsidDel="00000000" w:rsidR="00000000" w:rsidRPr="00000000">
              <w:rPr>
                <w:rtl w:val="0"/>
              </w:rPr>
              <w:t xml:space="preserve"> поширюється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Органи місцевого самоврядування можуть формувати Перелік незадіяних земельних ділянок і майнових об’єктів на основі даних реєстру комунальної власності (за наявності) або інвентаризації (Наказ Мінфіну України від 02.09.2014 № 879, Постанова КМУ від 05.06.2019 № 476).</w:t>
            </w:r>
          </w:p>
        </w:tc>
      </w:tr>
      <w:tr>
        <w:trPr>
          <w:trHeight w:val="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Способи оновлення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Інвентаризація комунальної власності, актуалізація даних про об’єкти, укладення, розірвання, скасування договорів оренди та приватизації комунальної власності.</w:t>
            </w:r>
          </w:p>
        </w:tc>
      </w:tr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Частота оновлення інформації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Позапланово (протягом трьох робочих днів з моменту внесення змін) або не рідше ніж щомісяця.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Тип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Структуровані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Формати файлів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XLSX, ODS, CSV, можливі інші формати структурованих даних.</w:t>
            </w:r>
          </w:p>
        </w:tc>
      </w:tr>
    </w:tbl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7h2qa04ri3c6" w:id="2"/>
      <w:bookmarkEnd w:id="2"/>
      <w:r w:rsidDel="00000000" w:rsidR="00000000" w:rsidRPr="00000000">
        <w:rPr>
          <w:rtl w:val="0"/>
        </w:rPr>
        <w:t xml:space="preserve">2. Огляд нормативно-правової бази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Органи місцевого самоврядування реалізують право комунальної власності відповідно до статті 60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Закону України «Про органи місцевого самоврядування України»</w:t>
        </w:r>
      </w:hyperlink>
      <w:r w:rsidDel="00000000" w:rsidR="00000000" w:rsidRPr="00000000">
        <w:rPr>
          <w:rtl w:val="0"/>
        </w:rPr>
        <w:t xml:space="preserve">. Інвентаризація об’єктів комунальної власності здійснюється відповідно до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Наказу Мінфіну України від 02.09.2014 № 879</w:t>
        </w:r>
      </w:hyperlink>
      <w:r w:rsidDel="00000000" w:rsidR="00000000" w:rsidRPr="00000000">
        <w:rPr>
          <w:rtl w:val="0"/>
        </w:rPr>
        <w:t xml:space="preserve"> земельних ділянок —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Постанови КМУ від 05.06.2019 № 476</w:t>
        </w:r>
      </w:hyperlink>
      <w:r w:rsidDel="00000000" w:rsidR="00000000" w:rsidRPr="00000000">
        <w:rPr>
          <w:rtl w:val="0"/>
        </w:rPr>
        <w:t xml:space="preserve">. Стаття 5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Закону України «Про оренду державного та комунального майна»</w:t>
        </w:r>
      </w:hyperlink>
      <w:r w:rsidDel="00000000" w:rsidR="00000000" w:rsidRPr="00000000">
        <w:rPr>
          <w:rtl w:val="0"/>
        </w:rPr>
        <w:t xml:space="preserve"> передбачає публікацію інформації про об'єкти оренди в електронній торговій системі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ProZorro.Продажі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200" w:line="276" w:lineRule="auto"/>
        <w:rPr/>
      </w:pPr>
      <w:bookmarkStart w:colFirst="0" w:colLast="0" w:name="_8cjuf0vk02at" w:id="3"/>
      <w:bookmarkEnd w:id="3"/>
      <w:r w:rsidDel="00000000" w:rsidR="00000000" w:rsidRPr="00000000">
        <w:rPr>
          <w:rtl w:val="0"/>
        </w:rPr>
        <w:t xml:space="preserve">3. Підготовка даних та структура набору</w:t>
      </w:r>
    </w:p>
    <w:p w:rsidR="00000000" w:rsidDel="00000000" w:rsidP="00000000" w:rsidRDefault="00000000" w:rsidRPr="00000000" w14:paraId="00000014">
      <w:pPr>
        <w:spacing w:after="200" w:lineRule="auto"/>
        <w:rPr/>
      </w:pPr>
      <w:r w:rsidDel="00000000" w:rsidR="00000000" w:rsidRPr="00000000">
        <w:rPr>
          <w:rtl w:val="0"/>
        </w:rPr>
        <w:t xml:space="preserve">Для оприлюднення переліку у формі відкритих даних рекомендовано використовувати структуру таблиці </w:t>
      </w:r>
      <w:r w:rsidDel="00000000" w:rsidR="00000000" w:rsidRPr="00000000">
        <w:rPr>
          <w:b w:val="1"/>
          <w:rtl w:val="0"/>
        </w:rPr>
        <w:t xml:space="preserve">Parcels</w:t>
      </w:r>
      <w:r w:rsidDel="00000000" w:rsidR="00000000" w:rsidRPr="00000000">
        <w:rPr>
          <w:rtl w:val="0"/>
        </w:rPr>
        <w:t xml:space="preserve"> та </w:t>
      </w:r>
      <w:r w:rsidDel="00000000" w:rsidR="00000000" w:rsidRPr="00000000">
        <w:rPr>
          <w:b w:val="1"/>
          <w:rtl w:val="0"/>
        </w:rPr>
        <w:t xml:space="preserve">Buildings</w:t>
      </w:r>
      <w:r w:rsidDel="00000000" w:rsidR="00000000" w:rsidRPr="00000000">
        <w:rPr>
          <w:rtl w:val="0"/>
        </w:rPr>
        <w:t xml:space="preserve"> з набору даних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«Перелік об’єктів комунальної власності»</w:t>
        </w:r>
      </w:hyperlink>
      <w:r w:rsidDel="00000000" w:rsidR="00000000" w:rsidRPr="00000000">
        <w:rPr>
          <w:rtl w:val="0"/>
        </w:rPr>
        <w:t xml:space="preserve">. Якщо інформація про об’єкти внесена до електронної торгової системи, необхідно використовувати структуру таблиці </w:t>
      </w:r>
      <w:r w:rsidDel="00000000" w:rsidR="00000000" w:rsidRPr="00000000">
        <w:rPr>
          <w:b w:val="1"/>
          <w:rtl w:val="0"/>
        </w:rPr>
        <w:t xml:space="preserve">ListProzorroSales</w:t>
      </w:r>
      <w:r w:rsidDel="00000000" w:rsidR="00000000" w:rsidRPr="00000000">
        <w:rPr>
          <w:rtl w:val="0"/>
        </w:rPr>
        <w:t xml:space="preserve"> з набору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«Перелік об’єктів комунальної власності, що передані в оренду чи інше право користування»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line="276" w:lineRule="auto"/>
        <w:rPr/>
      </w:pPr>
      <w:bookmarkStart w:colFirst="0" w:colLast="0" w:name="_ayzcnxf60j46" w:id="4"/>
      <w:bookmarkEnd w:id="4"/>
      <w:r w:rsidDel="00000000" w:rsidR="00000000" w:rsidRPr="00000000">
        <w:rPr>
          <w:rtl w:val="0"/>
        </w:rPr>
        <w:t xml:space="preserve">4. Оформлення паспортів наборів та ресурсів</w:t>
      </w:r>
    </w:p>
    <w:tbl>
      <w:tblPr>
        <w:tblStyle w:val="Table2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trHeight w:val="116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Зверніть увагу!</w:t>
            </w:r>
            <w:r w:rsidDel="00000000" w:rsidR="00000000" w:rsidRPr="00000000">
              <w:rPr>
                <w:rtl w:val="0"/>
              </w:rPr>
              <w:t xml:space="preserve"> Назва набору має відповідати Переліку, затвердженому Постановою КМУ № 835 (зі змінами). Також вона може включати назву розпорядника або населеного пункту, з яким пов’язані дані. Це полегшує пошук набору в пошукових системах.</w:t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1 — Приклад паспорту набору даних на data.gov.ua</w:t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3195"/>
        <w:gridCol w:w="5850"/>
        <w:tblGridChange w:id="0">
          <w:tblGrid>
            <w:gridCol w:w="3195"/>
            <w:gridCol w:w="5850"/>
          </w:tblGrid>
        </w:tblGridChange>
      </w:tblGrid>
      <w:tr>
        <w:trPr>
          <w:trHeight w:val="100" w:hRule="atLeast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поля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Приклад заповнення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Назва набору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Перелік незадіяних земельних ділянок і майнових об’єктів (приміщень) комунальної форми власності, які можуть бути передані в користування.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Відомості про мову інформації, яка міститься у наборі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Українська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020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Частота оновлення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Щ</w:t>
            </w:r>
            <w:r w:rsidDel="00000000" w:rsidR="00000000" w:rsidRPr="00000000">
              <w:rPr>
                <w:rtl w:val="0"/>
              </w:rPr>
              <w:t xml:space="preserve">омісяця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shd w:fill="fcfcfc" w:val="clear"/>
                <w:rtl w:val="0"/>
              </w:rPr>
              <w:t xml:space="preserve">Опис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Набір містить дані про об’єкти комунальної форми власності Хотинської міської ради, які внесені до  електронної торгової системи (ProZorro.Продажі) і можуть бути передані в користування.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24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Підстава та призначення збору інформації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Земельний кодекс України, Закон України «Про місцеве самоврядування в Україні»  від 21.05.1997 № 280/97-ВР, Закон України «Про оренду державного та комунального майна», Постанова КМУ від 05.06.2019 № 476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26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Ключові слова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власність, майно, оренда, користування, приватизація, комунальна власність, комунальне майно, власник, користувач, орендар, нерухомість, будинок, приміщення, аукціон, земельна ділянка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8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Відповідальна особа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Симоненко Олена Петрівна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A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Адреса електронної пошти відповідальної особи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o.symonenko@example.gov.ua</w:t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b w:val="1"/>
          <w:rtl w:val="0"/>
        </w:rPr>
        <w:t xml:space="preserve">Таблиця 2 — Приклад паспорта ресурсу </w:t>
      </w:r>
      <w:r w:rsidDel="00000000" w:rsidR="00000000" w:rsidRPr="00000000">
        <w:rPr>
          <w:b w:val="1"/>
          <w:rtl w:val="0"/>
        </w:rPr>
        <w:t xml:space="preserve">ListProzorroSales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45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805"/>
        <w:gridCol w:w="6240"/>
        <w:tblGridChange w:id="0">
          <w:tblGrid>
            <w:gridCol w:w="2805"/>
            <w:gridCol w:w="6240"/>
          </w:tblGrid>
        </w:tblGridChange>
      </w:tblGrid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поля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Приклад заповнення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Назва ресурсу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ListProzorroSales</w:t>
            </w:r>
            <w:r w:rsidDel="00000000" w:rsidR="00000000" w:rsidRPr="00000000">
              <w:rPr>
                <w:rtl w:val="0"/>
              </w:rPr>
              <w:t xml:space="preserve">.xlsx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Опис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Таблиця містить унікальний код, назву й посилання на сторінку об’єкта в системі ProZorro.Продажі. Кожним записом в таблиці є окремий об’єкт комунальної власності.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35">
            <w:pPr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Формат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XLSX</w:t>
            </w:r>
          </w:p>
        </w:tc>
      </w:tr>
    </w:tbl>
    <w:p w:rsidR="00000000" w:rsidDel="00000000" w:rsidP="00000000" w:rsidRDefault="00000000" w:rsidRPr="00000000" w14:paraId="00000037">
      <w:pPr>
        <w:spacing w:after="20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zakon.rada.gov.ua/laws/show/280/97-%D0%B2%D1%80" TargetMode="External"/><Relationship Id="rId10" Type="http://schemas.openxmlformats.org/officeDocument/2006/relationships/hyperlink" Target="https://zakon.rada.gov.ua/laws/show/476-2019-%D0%BF" TargetMode="External"/><Relationship Id="rId13" Type="http://schemas.openxmlformats.org/officeDocument/2006/relationships/hyperlink" Target="https://zakon.rada.gov.ua/laws/show/476-2019-%D0%BF" TargetMode="External"/><Relationship Id="rId12" Type="http://schemas.openxmlformats.org/officeDocument/2006/relationships/hyperlink" Target="https://zakon4.rada.gov.ua/laws/show/z1365-1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zakon.rada.gov.ua/laws/show/z1365-14" TargetMode="External"/><Relationship Id="rId15" Type="http://schemas.openxmlformats.org/officeDocument/2006/relationships/hyperlink" Target="https://prozorro.sale/eaassets/search?source=eaassets&amp;index=5" TargetMode="External"/><Relationship Id="rId14" Type="http://schemas.openxmlformats.org/officeDocument/2006/relationships/hyperlink" Target="http://w1.c1.rada.gov.ua/pls/zweb2/webproc4_1?pf3511=66716" TargetMode="External"/><Relationship Id="rId17" Type="http://schemas.openxmlformats.org/officeDocument/2006/relationships/hyperlink" Target="https://docs.google.com/document/d/1gAoX8kTEEozJcHn3g1rcUDshCemlRsjAQsDFhjXgNkY/edit?usp=sharing" TargetMode="External"/><Relationship Id="rId16" Type="http://schemas.openxmlformats.org/officeDocument/2006/relationships/hyperlink" Target="https://docs.google.com/document/d/13_aoviMkQHrpuCC4SZF7Ot1flKMOecGZUZ6Vs4Ffz7s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zakon.rada.gov.ua/laws/show/2768-14" TargetMode="External"/><Relationship Id="rId7" Type="http://schemas.openxmlformats.org/officeDocument/2006/relationships/hyperlink" Target="https://zakon.rada.gov.ua/laws/show/280/97-%D0%B2%D1%80" TargetMode="External"/><Relationship Id="rId8" Type="http://schemas.openxmlformats.org/officeDocument/2006/relationships/hyperlink" Target="http://w1.c1.rada.gov.ua/pls/zweb2/webproc4_1?pf3511=667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