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b9e9pl9vs52w" w:id="0"/>
      <w:bookmarkEnd w:id="0"/>
      <w:r w:rsidDel="00000000" w:rsidR="00000000" w:rsidRPr="00000000">
        <w:rPr>
          <w:rtl w:val="0"/>
        </w:rPr>
        <w:t xml:space="preserve">Перелік перевізників, що надають послуги пасажирського автомобільного транспорту, та маршрутів перевезення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v896et4q1rml"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Наказ Мінтрансзв'язку України «Про затвердження Порядку розроблення та затвердження паспорта автобусного маршруту» від 07.05.2010 № 278</w:t>
              </w:r>
            </w:hyperlink>
            <w:r w:rsidDel="00000000" w:rsidR="00000000" w:rsidRPr="00000000">
              <w:rPr>
                <w:rtl w:val="0"/>
              </w:rPr>
              <w:t xml:space="preserve">, </w:t>
            </w:r>
            <w:hyperlink r:id="rId9">
              <w:r w:rsidDel="00000000" w:rsidR="00000000" w:rsidRPr="00000000">
                <w:rPr>
                  <w:color w:val="1155cc"/>
                  <w:u w:val="single"/>
                  <w:rtl w:val="0"/>
                </w:rPr>
                <w:t xml:space="preserve">Постанова КМУ «Про затвердження Порядку проведення конкурсу з перевезення пасажирів на автобусному маршруті загального користування» від 03.12.2008 № 1081</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Правил надання послуг пасажирського автомобільного транспорту» від 18.02.1997 № 176</w:t>
              </w:r>
            </w:hyperlink>
            <w:r w:rsidDel="00000000" w:rsidR="00000000" w:rsidRPr="00000000">
              <w:rPr>
                <w:rtl w:val="0"/>
              </w:rPr>
              <w:t xml:space="preserve">, </w:t>
            </w:r>
            <w:hyperlink r:id="rId11">
              <w:r w:rsidDel="00000000" w:rsidR="00000000" w:rsidRPr="00000000">
                <w:rPr>
                  <w:color w:val="1155cc"/>
                  <w:u w:val="single"/>
                  <w:rtl w:val="0"/>
                </w:rPr>
                <w:t xml:space="preserve">Наказ Мінінфраструктури «Про затвердження Порядку організації перевезень пасажирів та багажу автомобільним транспортом» від 15.07.2013 № 480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Rule="auto"/>
              <w:rPr/>
            </w:pPr>
            <w:r w:rsidDel="00000000" w:rsidR="00000000" w:rsidRPr="00000000">
              <w:rPr>
                <w:rtl w:val="0"/>
              </w:rPr>
              <w:t xml:space="preserve">Дані набору можуть узагальнюватися у низці документів: комплексних схемах транспорту міст, результатах обстеження та облаштування автобусних маршрутів, паспортах маршрутів</w:t>
            </w:r>
            <w:r w:rsidDel="00000000" w:rsidR="00000000" w:rsidRPr="00000000">
              <w:rPr>
                <w:rtl w:val="0"/>
              </w:rPr>
              <w:t xml:space="preserve">, </w:t>
            </w:r>
            <w:r w:rsidDel="00000000" w:rsidR="00000000" w:rsidRPr="00000000">
              <w:rPr>
                <w:rtl w:val="0"/>
              </w:rPr>
              <w:t xml:space="preserve">результатах конкурсів із перевезення пасажирів на автобусних маршрутах загального користування.</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Зміна мережі маршрутів громадського транспорту, проведення конкурсів із перевезення пасажирів на автобусному маршруті загального користування.</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Щороку або 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2">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3">
      <w:pPr>
        <w:spacing w:after="200" w:lineRule="auto"/>
        <w:rPr/>
      </w:pPr>
      <w:r w:rsidDel="00000000" w:rsidR="00000000" w:rsidRPr="00000000">
        <w:rPr>
          <w:rtl w:val="0"/>
        </w:rPr>
        <w:t xml:space="preserve">Повноваження органів місцевого самоврядування у сфері організації руху міського пасажирського транспорту визначені статтею 30 </w:t>
      </w:r>
      <w:hyperlink r:id="rId12">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Мережа маршрутів громадського транспорту формується  під розробки комплексних схем транспорту міст (</w:t>
      </w:r>
      <w:hyperlink r:id="rId13">
        <w:r w:rsidDel="00000000" w:rsidR="00000000" w:rsidRPr="00000000">
          <w:rPr>
            <w:color w:val="1155cc"/>
            <w:u w:val="single"/>
            <w:rtl w:val="0"/>
          </w:rPr>
          <w:t xml:space="preserve">ДБН Б.1-2-95</w:t>
        </w:r>
      </w:hyperlink>
      <w:r w:rsidDel="00000000" w:rsidR="00000000" w:rsidRPr="00000000">
        <w:rPr>
          <w:rtl w:val="0"/>
        </w:rPr>
        <w:t xml:space="preserve">), обстеження та облаштування автобусних маршрутів (</w:t>
      </w:r>
      <w:hyperlink r:id="rId14">
        <w:r w:rsidDel="00000000" w:rsidR="00000000" w:rsidRPr="00000000">
          <w:rPr>
            <w:color w:val="1155cc"/>
            <w:u w:val="single"/>
            <w:rtl w:val="0"/>
          </w:rPr>
          <w:t xml:space="preserve">Наказ Мінінфраструктури від 15.07.2013 № 480</w:t>
        </w:r>
      </w:hyperlink>
      <w:r w:rsidDel="00000000" w:rsidR="00000000" w:rsidRPr="00000000">
        <w:rPr>
          <w:rtl w:val="0"/>
        </w:rPr>
        <w:t xml:space="preserve">). Для кожного маршруту розробляється паспорт відповідно до </w:t>
      </w:r>
      <w:hyperlink r:id="rId15">
        <w:r w:rsidDel="00000000" w:rsidR="00000000" w:rsidRPr="00000000">
          <w:rPr>
            <w:color w:val="1155cc"/>
            <w:u w:val="single"/>
            <w:rtl w:val="0"/>
          </w:rPr>
          <w:t xml:space="preserve">Наказу Мінтрансзв'язку України від 07.05.2010 № 278</w:t>
        </w:r>
      </w:hyperlink>
      <w:r w:rsidDel="00000000" w:rsidR="00000000" w:rsidRPr="00000000">
        <w:rPr>
          <w:rtl w:val="0"/>
        </w:rPr>
        <w:t xml:space="preserve">. Перелік перевізників визначається за результатами конкурсів з перевезення пасажирів на автобусному маршруті загального користування (</w:t>
      </w:r>
      <w:hyperlink r:id="rId16">
        <w:r w:rsidDel="00000000" w:rsidR="00000000" w:rsidRPr="00000000">
          <w:rPr>
            <w:color w:val="1155cc"/>
            <w:u w:val="single"/>
            <w:rtl w:val="0"/>
          </w:rPr>
          <w:t xml:space="preserve">Постанова КМУ від 03.12.2008 № 1081</w:t>
        </w:r>
      </w:hyperlink>
      <w:r w:rsidDel="00000000" w:rsidR="00000000" w:rsidRPr="00000000">
        <w:rPr>
          <w:rtl w:val="0"/>
        </w:rPr>
        <w:t xml:space="preserve">). Інформація про перевізників та маршрути може вноситись до систем диспетчерського управління (стандарт </w:t>
      </w:r>
      <w:hyperlink r:id="rId17">
        <w:r w:rsidDel="00000000" w:rsidR="00000000" w:rsidRPr="00000000">
          <w:rPr>
            <w:color w:val="1155cc"/>
            <w:u w:val="single"/>
            <w:rtl w:val="0"/>
          </w:rPr>
          <w:t xml:space="preserve">GTFS</w:t>
        </w:r>
      </w:hyperlink>
      <w:r w:rsidDel="00000000" w:rsidR="00000000" w:rsidRPr="00000000">
        <w:rPr>
          <w:rtl w:val="0"/>
        </w:rPr>
        <w:t xml:space="preserve"> або його аналоги</w:t>
      </w:r>
      <w:r w:rsidDel="00000000" w:rsidR="00000000" w:rsidRPr="00000000">
        <w:rPr>
          <w:rtl w:val="0"/>
        </w:rPr>
        <w:t xml:space="preserve">).</w:t>
      </w:r>
    </w:p>
    <w:p w:rsidR="00000000" w:rsidDel="00000000" w:rsidP="00000000" w:rsidRDefault="00000000" w:rsidRPr="00000000" w14:paraId="00000014">
      <w:pPr>
        <w:pStyle w:val="Heading1"/>
        <w:rPr/>
      </w:pPr>
      <w:bookmarkStart w:colFirst="0" w:colLast="0" w:name="_unxil3to2wt"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spacing w:after="200" w:lineRule="auto"/>
        <w:rPr/>
      </w:pPr>
      <w:r w:rsidDel="00000000" w:rsidR="00000000" w:rsidRPr="00000000">
        <w:rPr>
          <w:rtl w:val="0"/>
        </w:rPr>
        <w:t xml:space="preserve">Набір рекомендовано оприлюднювати відповідно до вимог стандарту </w:t>
      </w:r>
      <w:hyperlink r:id="rId18">
        <w:r w:rsidDel="00000000" w:rsidR="00000000" w:rsidRPr="00000000">
          <w:rPr>
            <w:color w:val="1155cc"/>
            <w:u w:val="single"/>
            <w:rtl w:val="0"/>
          </w:rPr>
          <w:t xml:space="preserve">GTFS Static</w:t>
        </w:r>
      </w:hyperlink>
      <w:r w:rsidDel="00000000" w:rsidR="00000000" w:rsidRPr="00000000">
        <w:rPr>
          <w:rtl w:val="0"/>
        </w:rPr>
        <w:t xml:space="preserve"> (таблиця agency й routes) або аналогів. Це </w:t>
      </w:r>
      <w:r w:rsidDel="00000000" w:rsidR="00000000" w:rsidRPr="00000000">
        <w:rPr>
          <w:rtl w:val="0"/>
        </w:rPr>
        <w:t xml:space="preserve">забезпечить</w:t>
      </w:r>
      <w:r w:rsidDel="00000000" w:rsidR="00000000" w:rsidRPr="00000000">
        <w:rPr>
          <w:rtl w:val="0"/>
        </w:rPr>
        <w:t xml:space="preserve"> можливість використання даних у транспортних сервісах </w:t>
      </w:r>
      <w:hyperlink r:id="rId19">
        <w:r w:rsidDel="00000000" w:rsidR="00000000" w:rsidRPr="00000000">
          <w:rPr>
            <w:color w:val="1155cc"/>
            <w:u w:val="single"/>
            <w:rtl w:val="0"/>
          </w:rPr>
          <w:t xml:space="preserve">Google Maps</w:t>
        </w:r>
      </w:hyperlink>
      <w:r w:rsidDel="00000000" w:rsidR="00000000" w:rsidRPr="00000000">
        <w:rPr>
          <w:rtl w:val="0"/>
        </w:rPr>
        <w:t xml:space="preserve">, </w:t>
      </w:r>
      <w:hyperlink r:id="rId20">
        <w:r w:rsidDel="00000000" w:rsidR="00000000" w:rsidRPr="00000000">
          <w:rPr>
            <w:color w:val="1155cc"/>
            <w:u w:val="single"/>
            <w:rtl w:val="0"/>
          </w:rPr>
          <w:t xml:space="preserve">Easy Way</w:t>
        </w:r>
      </w:hyperlink>
      <w:r w:rsidDel="00000000" w:rsidR="00000000" w:rsidRPr="00000000">
        <w:rPr>
          <w:rtl w:val="0"/>
        </w:rPr>
        <w:t xml:space="preserve"> тощо.</w:t>
      </w:r>
    </w:p>
    <w:p w:rsidR="00000000" w:rsidDel="00000000" w:rsidP="00000000" w:rsidRDefault="00000000" w:rsidRPr="00000000" w14:paraId="00000016">
      <w:pPr>
        <w:spacing w:line="276" w:lineRule="auto"/>
        <w:rPr/>
      </w:pPr>
      <w:r w:rsidDel="00000000" w:rsidR="00000000" w:rsidRPr="00000000">
        <w:rPr>
          <w:rtl w:val="0"/>
        </w:rPr>
        <w:t xml:space="preserve">Набір включає дві таблиці (ресурси):</w:t>
      </w:r>
    </w:p>
    <w:p w:rsidR="00000000" w:rsidDel="00000000" w:rsidP="00000000" w:rsidRDefault="00000000" w:rsidRPr="00000000" w14:paraId="00000017">
      <w:pPr>
        <w:numPr>
          <w:ilvl w:val="0"/>
          <w:numId w:val="1"/>
        </w:numPr>
        <w:spacing w:line="276" w:lineRule="auto"/>
        <w:ind w:left="720" w:hanging="360"/>
        <w:rPr>
          <w:u w:val="none"/>
        </w:rPr>
      </w:pPr>
      <w:r w:rsidDel="00000000" w:rsidR="00000000" w:rsidRPr="00000000">
        <w:rPr>
          <w:b w:val="1"/>
          <w:rtl w:val="0"/>
        </w:rPr>
        <w:t xml:space="preserve">agency</w:t>
      </w:r>
      <w:r w:rsidDel="00000000" w:rsidR="00000000" w:rsidRPr="00000000">
        <w:rPr>
          <w:rtl w:val="0"/>
        </w:rPr>
        <w:t xml:space="preserve"> — перелік суб’єктів господарювання, що надають послуги пасажирського автомобільного транспорту;</w:t>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b w:val="1"/>
          <w:rtl w:val="0"/>
        </w:rPr>
        <w:t xml:space="preserve">routes</w:t>
      </w:r>
      <w:r w:rsidDel="00000000" w:rsidR="00000000" w:rsidRPr="00000000">
        <w:rPr>
          <w:rtl w:val="0"/>
        </w:rPr>
        <w:t xml:space="preserve"> — перелік маршрутів громадського транспорту.</w:t>
      </w:r>
    </w:p>
    <w:p w:rsidR="00000000" w:rsidDel="00000000" w:rsidP="00000000" w:rsidRDefault="00000000" w:rsidRPr="00000000" w14:paraId="00000019">
      <w:pPr>
        <w:pStyle w:val="Heading2"/>
        <w:spacing w:line="276" w:lineRule="auto"/>
        <w:rPr/>
      </w:pPr>
      <w:bookmarkStart w:colFirst="0" w:colLast="0" w:name="_gfahj3r70t9s" w:id="4"/>
      <w:bookmarkEnd w:id="4"/>
      <w:r w:rsidDel="00000000" w:rsidR="00000000" w:rsidRPr="00000000">
        <w:rPr>
          <w:rtl w:val="0"/>
        </w:rPr>
        <w:t xml:space="preserve">3.1. Перелік перевізників, що надають послуги пасажирського автомобільного транспорту (ресурс agency)</w:t>
      </w:r>
    </w:p>
    <w:p w:rsidR="00000000" w:rsidDel="00000000" w:rsidP="00000000" w:rsidRDefault="00000000" w:rsidRPr="00000000" w14:paraId="0000001A">
      <w:pPr>
        <w:spacing w:line="276" w:lineRule="auto"/>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1B">
            <w:pPr>
              <w:widowControl w:val="0"/>
              <w:spacing w:line="276" w:lineRule="auto"/>
              <w:jc w:val="center"/>
              <w:rPr>
                <w:b w:val="1"/>
              </w:rPr>
            </w:pPr>
            <w:r w:rsidDel="00000000" w:rsidR="00000000" w:rsidRPr="00000000">
              <w:rPr>
                <w:b w:val="1"/>
                <w:rtl w:val="0"/>
              </w:rPr>
              <w:t xml:space="preserve">Інформація про ресурс</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1D">
            <w:pPr>
              <w:widowControl w:val="0"/>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1E">
            <w:pPr>
              <w:widowControl w:val="0"/>
              <w:spacing w:line="276" w:lineRule="auto"/>
              <w:rPr/>
            </w:pPr>
            <w:r w:rsidDel="00000000" w:rsidR="00000000" w:rsidRPr="00000000">
              <w:rPr>
                <w:rtl w:val="0"/>
              </w:rPr>
              <w:t xml:space="preserve">agency</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1F">
            <w:pPr>
              <w:widowControl w:val="0"/>
              <w:spacing w:line="276" w:lineRule="auto"/>
              <w:rPr/>
            </w:pPr>
            <w:r w:rsidDel="00000000" w:rsidR="00000000" w:rsidRPr="00000000">
              <w:rPr>
                <w:rtl w:val="0"/>
              </w:rPr>
              <w:t xml:space="preserve">Що є одним записом в таблиці (рядком)</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0">
            <w:pPr>
              <w:widowControl w:val="0"/>
              <w:spacing w:line="276" w:lineRule="auto"/>
              <w:rPr/>
            </w:pPr>
            <w:r w:rsidDel="00000000" w:rsidR="00000000" w:rsidRPr="00000000">
              <w:rPr>
                <w:rtl w:val="0"/>
              </w:rPr>
              <w:t xml:space="preserve">Один суб’єкт господарювання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3">
            <w:pPr>
              <w:widowControl w:val="0"/>
              <w:spacing w:line="276" w:lineRule="auto"/>
              <w:jc w:val="center"/>
              <w:rPr>
                <w:b w:val="1"/>
              </w:rPr>
            </w:pPr>
            <w:r w:rsidDel="00000000" w:rsidR="00000000" w:rsidRPr="00000000">
              <w:rPr>
                <w:b w:val="1"/>
                <w:rtl w:val="0"/>
              </w:rPr>
              <w:t xml:space="preserve">Прикріплені файли</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5">
            <w:pPr>
              <w:widowControl w:val="0"/>
              <w:spacing w:line="276" w:lineRule="auto"/>
              <w:rPr/>
            </w:pPr>
            <w:r w:rsidDel="00000000" w:rsidR="00000000" w:rsidRPr="00000000">
              <w:rPr>
                <w:rtl w:val="0"/>
              </w:rPr>
              <w:t xml:space="preserve">Шаблон таблиці</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6">
            <w:pPr>
              <w:widowControl w:val="0"/>
              <w:spacing w:line="276" w:lineRule="auto"/>
              <w:rPr/>
            </w:pPr>
            <w:hyperlink r:id="rId21">
              <w:r w:rsidDel="00000000" w:rsidR="00000000" w:rsidRPr="00000000">
                <w:rPr>
                  <w:color w:val="1155cc"/>
                  <w:u w:val="single"/>
                  <w:rtl w:val="0"/>
                </w:rPr>
                <w:t xml:space="preserve">agency.xlsx</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7">
            <w:pPr>
              <w:widowControl w:val="0"/>
              <w:spacing w:line="276" w:lineRule="auto"/>
              <w:rPr/>
            </w:pPr>
            <w:r w:rsidDel="00000000" w:rsidR="00000000" w:rsidRPr="00000000">
              <w:rPr>
                <w:rtl w:val="0"/>
              </w:rPr>
              <w:t xml:space="preserve">Приклад таблиці</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8">
            <w:pPr>
              <w:spacing w:line="276" w:lineRule="auto"/>
              <w:rPr/>
            </w:pPr>
            <w:hyperlink r:id="rId22">
              <w:r w:rsidDel="00000000" w:rsidR="00000000" w:rsidRPr="00000000">
                <w:rPr>
                  <w:color w:val="1155cc"/>
                  <w:u w:val="single"/>
                  <w:rtl w:val="0"/>
                </w:rPr>
                <w:t xml:space="preserve">Example</w:t>
              </w:r>
            </w:hyperlink>
            <w:hyperlink r:id="rId23">
              <w:r w:rsidDel="00000000" w:rsidR="00000000" w:rsidRPr="00000000">
                <w:rPr>
                  <w:color w:val="1155cc"/>
                  <w:u w:val="single"/>
                  <w:rtl w:val="0"/>
                </w:rPr>
                <w:t xml:space="preserve">.xlsx</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9">
            <w:pPr>
              <w:widowControl w:val="0"/>
              <w:spacing w:line="276" w:lineRule="auto"/>
              <w:rPr/>
            </w:pPr>
            <w:r w:rsidDel="00000000" w:rsidR="00000000" w:rsidRPr="00000000">
              <w:rPr>
                <w:rtl w:val="0"/>
              </w:rPr>
              <w:t xml:space="preserve">Структура (XLSX, CSV, JSON)</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2A">
            <w:pPr>
              <w:spacing w:line="276" w:lineRule="auto"/>
              <w:rPr/>
            </w:pPr>
            <w:hyperlink r:id="rId24">
              <w:r w:rsidDel="00000000" w:rsidR="00000000" w:rsidRPr="00000000">
                <w:rPr>
                  <w:color w:val="1155cc"/>
                  <w:u w:val="single"/>
                  <w:rtl w:val="0"/>
                </w:rPr>
                <w:t xml:space="preserve">Structure.xlsx</w:t>
              </w:r>
            </w:hyperlink>
            <w:r w:rsidDel="00000000" w:rsidR="00000000" w:rsidRPr="00000000">
              <w:rPr>
                <w:rtl w:val="0"/>
              </w:rPr>
              <w:t xml:space="preserve">, </w:t>
            </w:r>
            <w:hyperlink r:id="rId25">
              <w:r w:rsidDel="00000000" w:rsidR="00000000" w:rsidRPr="00000000">
                <w:rPr>
                  <w:color w:val="1155cc"/>
                  <w:u w:val="single"/>
                  <w:rtl w:val="0"/>
                </w:rPr>
                <w:t xml:space="preserve">Structure.csv</w:t>
              </w:r>
            </w:hyperlink>
            <w:r w:rsidDel="00000000" w:rsidR="00000000" w:rsidRPr="00000000">
              <w:rPr>
                <w:rtl w:val="0"/>
              </w:rPr>
              <w:t xml:space="preserve">, </w:t>
            </w:r>
            <w:hyperlink r:id="rId2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B">
      <w:pPr>
        <w:spacing w:line="276" w:lineRule="auto"/>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7">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after="200" w:line="276" w:lineRule="auto"/>
        <w:jc w:val="center"/>
        <w:rPr/>
      </w:pPr>
      <w:r w:rsidDel="00000000" w:rsidR="00000000" w:rsidRPr="00000000">
        <w:rPr>
          <w:b w:val="1"/>
          <w:rtl w:val="0"/>
        </w:rPr>
        <w:t xml:space="preserve">Таблиця 1 — Структура таблиці (ресурсу) agency</w:t>
      </w:r>
      <w:r w:rsidDel="00000000" w:rsidR="00000000" w:rsidRPr="00000000">
        <w:rPr>
          <w:rtl w:val="0"/>
        </w:rPr>
      </w:r>
    </w:p>
    <w:tbl>
      <w:tblPr>
        <w:tblStyle w:val="Table4"/>
        <w:tblW w:w="9090.0"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320"/>
        <w:gridCol w:w="3795"/>
        <w:gridCol w:w="1305"/>
        <w:gridCol w:w="1425"/>
        <w:tblGridChange w:id="0">
          <w:tblGrid>
            <w:gridCol w:w="1245"/>
            <w:gridCol w:w="1320"/>
            <w:gridCol w:w="3795"/>
            <w:gridCol w:w="1305"/>
            <w:gridCol w:w="1425"/>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b w:val="1"/>
              </w:rPr>
            </w:pPr>
            <w:r w:rsidDel="00000000" w:rsidR="00000000" w:rsidRPr="00000000">
              <w:rPr>
                <w:b w:val="1"/>
                <w:rtl w:val="0"/>
              </w:rPr>
              <w:t xml:space="preserve">Вимога заповнення (required)</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agency_id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spacing w:line="276" w:lineRule="auto"/>
              <w:rPr/>
            </w:pPr>
            <w:r w:rsidDel="00000000" w:rsidR="00000000" w:rsidRPr="00000000">
              <w:rPr>
                <w:rtl w:val="0"/>
              </w:rPr>
              <w:t xml:space="preserve">Ідентифікатор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spacing w:line="276" w:lineRule="auto"/>
              <w:rPr/>
            </w:pPr>
            <w:r w:rsidDel="00000000" w:rsidR="00000000" w:rsidRPr="00000000">
              <w:rPr>
                <w:rtl w:val="0"/>
              </w:rPr>
              <w:t xml:space="preserve">Код ЄДРПОУ перевізника. Наприклад: 01234567. У випадку ФОП дані про РНОКПП знеособлюються. Також ідентифікаторами можуть бути скорочені назви або системні коди.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spacing w:line="276" w:lineRule="auto"/>
              <w:rPr/>
            </w:pPr>
            <w:r w:rsidDel="00000000" w:rsidR="00000000" w:rsidRPr="00000000">
              <w:rPr>
                <w:rtl w:val="0"/>
              </w:rPr>
              <w:t xml:space="preserve">agency_name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spacing w:line="276" w:lineRule="auto"/>
              <w:rPr/>
            </w:pPr>
            <w:r w:rsidDel="00000000" w:rsidR="00000000" w:rsidRPr="00000000">
              <w:rPr>
                <w:rtl w:val="0"/>
              </w:rPr>
              <w:t xml:space="preserve">Назва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spacing w:line="276" w:lineRule="auto"/>
              <w:rPr/>
            </w:pPr>
            <w:r w:rsidDel="00000000" w:rsidR="00000000" w:rsidRPr="00000000">
              <w:rPr>
                <w:rtl w:val="0"/>
              </w:rPr>
              <w:t xml:space="preserve">Повна назва перевізника. Наприклад: Комунальне підприємство «Муніципальна транспортна компанія».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agency_url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Веб-сайт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Посилання на офіційний </w:t>
            </w:r>
            <w:r w:rsidDel="00000000" w:rsidR="00000000" w:rsidRPr="00000000">
              <w:rPr>
                <w:rtl w:val="0"/>
              </w:rPr>
              <w:t xml:space="preserve">веб-сайт</w:t>
            </w:r>
            <w:r w:rsidDel="00000000" w:rsidR="00000000" w:rsidRPr="00000000">
              <w:rPr>
                <w:rtl w:val="0"/>
              </w:rPr>
              <w:t xml:space="preserve"> перевізника. Посилання має починатися з http:// або https://. Наприклад: https://www.example.com.ua/.</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spacing w:line="276" w:lineRule="auto"/>
              <w:rPr/>
            </w:pPr>
            <w:r w:rsidDel="00000000" w:rsidR="00000000" w:rsidRPr="00000000">
              <w:rPr>
                <w:rtl w:val="0"/>
              </w:rPr>
              <w:t xml:space="preserve">agency_timezone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spacing w:line="276" w:lineRule="auto"/>
              <w:rPr/>
            </w:pPr>
            <w:r w:rsidDel="00000000" w:rsidR="00000000" w:rsidRPr="00000000">
              <w:rPr>
                <w:rtl w:val="0"/>
              </w:rPr>
              <w:t xml:space="preserve">Часовий пояс</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Часовий пояс, в якому організація здійснює перевезення.</w:t>
            </w:r>
          </w:p>
          <w:p w:rsidR="00000000" w:rsidDel="00000000" w:rsidP="00000000" w:rsidRDefault="00000000" w:rsidRPr="00000000" w14:paraId="00000046">
            <w:pPr>
              <w:widowControl w:val="0"/>
              <w:spacing w:line="276" w:lineRule="auto"/>
              <w:rPr/>
            </w:pPr>
            <w:r w:rsidDel="00000000" w:rsidR="00000000" w:rsidRPr="00000000">
              <w:rPr>
                <w:rtl w:val="0"/>
              </w:rPr>
              <w:t xml:space="preserve">У колонці необхідно зазначити Europe/Kyiv. Наприклад: Europe/Kyiv.</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agency_lang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spacing w:line="276" w:lineRule="auto"/>
              <w:rPr/>
            </w:pPr>
            <w:r w:rsidDel="00000000" w:rsidR="00000000" w:rsidRPr="00000000">
              <w:rPr>
                <w:rtl w:val="0"/>
              </w:rPr>
              <w:t xml:space="preserve">Мова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t xml:space="preserve">Мова надання послуг відповідно до ISO 639-1. Для української мови необхідно зазначити uk. Наприклад: uk.</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t xml:space="preserve">agency_phone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spacing w:line="276" w:lineRule="auto"/>
              <w:rPr/>
            </w:pPr>
            <w:r w:rsidDel="00000000" w:rsidR="00000000" w:rsidRPr="00000000">
              <w:rPr>
                <w:rtl w:val="0"/>
              </w:rPr>
              <w:t xml:space="preserve">Телефон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spacing w:line="276" w:lineRule="auto"/>
              <w:rPr/>
            </w:pPr>
            <w:commentRangeStart w:id="0"/>
            <w:r w:rsidDel="00000000" w:rsidR="00000000" w:rsidRPr="00000000">
              <w:rPr>
                <w:rtl w:val="0"/>
              </w:rPr>
              <w:t xml:space="preserve">Номер має починатися з +380, включати код населеного пункту або оператора та телефонний номер (12 цифр, без пробілів і дужок). Наприклад: +380123456789. У електронних таблицях допускається написання коду країни 380 або використання комбінації ‘+ (апостроф та плюс). У випадку кількох номерів телефону значення розділити комою.</w:t>
            </w:r>
            <w:commentRangeEnd w:id="0"/>
            <w:r w:rsidDel="00000000" w:rsidR="00000000" w:rsidRPr="00000000">
              <w:commentReference w:id="0"/>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spacing w:line="276" w:lineRule="auto"/>
              <w:rPr/>
            </w:pPr>
            <w:r w:rsidDel="00000000" w:rsidR="00000000" w:rsidRPr="00000000">
              <w:rPr>
                <w:rtl w:val="0"/>
              </w:rPr>
              <w:t xml:space="preserve">agency_email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spacing w:line="276" w:lineRule="auto"/>
              <w:rPr/>
            </w:pPr>
            <w:r w:rsidDel="00000000" w:rsidR="00000000" w:rsidRPr="00000000">
              <w:rPr>
                <w:rtl w:val="0"/>
              </w:rPr>
              <w:t xml:space="preserve">Адреса електронної пошти</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spacing w:line="276" w:lineRule="auto"/>
              <w:rPr/>
            </w:pPr>
            <w:r w:rsidDel="00000000" w:rsidR="00000000" w:rsidRPr="00000000">
              <w:rPr>
                <w:rtl w:val="0"/>
              </w:rPr>
              <w:t xml:space="preserve">Адреса електронної пошти перевізника. Наприклад: example@example.com.</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rPr/>
            </w:pPr>
            <w:r w:rsidDel="00000000" w:rsidR="00000000" w:rsidRPr="00000000">
              <w:rPr>
                <w:rtl w:val="0"/>
              </w:rPr>
              <w:t xml:space="preserve">Хибність (false)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spacing w:line="276" w:lineRule="auto"/>
              <w:rPr/>
            </w:pPr>
            <w:r w:rsidDel="00000000" w:rsidR="00000000" w:rsidRPr="00000000">
              <w:rPr>
                <w:rtl w:val="0"/>
              </w:rPr>
              <w:t xml:space="preserve">agency_fare_url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spacing w:line="276" w:lineRule="auto"/>
              <w:rPr/>
            </w:pPr>
            <w:r w:rsidDel="00000000" w:rsidR="00000000" w:rsidRPr="00000000">
              <w:rPr>
                <w:rtl w:val="0"/>
              </w:rPr>
              <w:t xml:space="preserve">Сервіс придбання квитків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spacing w:line="276" w:lineRule="auto"/>
              <w:rPr/>
            </w:pPr>
            <w:r w:rsidDel="00000000" w:rsidR="00000000" w:rsidRPr="00000000">
              <w:rPr>
                <w:rtl w:val="0"/>
              </w:rPr>
              <w:t xml:space="preserve">Посилання на електронний сервіс придбання проїзних документів. Посилання має починатися з http:// або https://. Наприклад: https://www.example.com.ua/.</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rPr/>
            </w:pPr>
            <w:r w:rsidDel="00000000" w:rsidR="00000000" w:rsidRPr="00000000">
              <w:rPr>
                <w:rtl w:val="0"/>
              </w:rPr>
              <w:t xml:space="preserve">Хибність (false)</w:t>
            </w:r>
          </w:p>
        </w:tc>
      </w:tr>
    </w:tbl>
    <w:p w:rsidR="00000000" w:rsidDel="00000000" w:rsidP="00000000" w:rsidRDefault="00000000" w:rsidRPr="00000000" w14:paraId="0000005D">
      <w:pPr>
        <w:spacing w:line="276" w:lineRule="auto"/>
        <w:jc w:val="both"/>
        <w:rPr/>
      </w:pPr>
      <w:r w:rsidDel="00000000" w:rsidR="00000000" w:rsidRPr="00000000">
        <w:rPr>
          <w:rtl w:val="0"/>
        </w:rPr>
      </w:r>
    </w:p>
    <w:p w:rsidR="00000000" w:rsidDel="00000000" w:rsidP="00000000" w:rsidRDefault="00000000" w:rsidRPr="00000000" w14:paraId="0000005E">
      <w:pPr>
        <w:pStyle w:val="Heading2"/>
        <w:spacing w:line="276" w:lineRule="auto"/>
        <w:rPr/>
      </w:pPr>
      <w:bookmarkStart w:colFirst="0" w:colLast="0" w:name="_qceh7az9g6kx" w:id="5"/>
      <w:bookmarkEnd w:id="5"/>
      <w:r w:rsidDel="00000000" w:rsidR="00000000" w:rsidRPr="00000000">
        <w:rPr>
          <w:rtl w:val="0"/>
        </w:rPr>
        <w:t xml:space="preserve">3.1. Перелік маршрутів громадського транспорту (ресурс routes)</w:t>
      </w:r>
    </w:p>
    <w:p w:rsidR="00000000" w:rsidDel="00000000" w:rsidP="00000000" w:rsidRDefault="00000000" w:rsidRPr="00000000" w14:paraId="0000005F">
      <w:pPr>
        <w:spacing w:line="276" w:lineRule="auto"/>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0">
            <w:pPr>
              <w:widowControl w:val="0"/>
              <w:spacing w:line="276" w:lineRule="auto"/>
              <w:jc w:val="center"/>
              <w:rPr>
                <w:b w:val="1"/>
              </w:rPr>
            </w:pPr>
            <w:r w:rsidDel="00000000" w:rsidR="00000000" w:rsidRPr="00000000">
              <w:rPr>
                <w:b w:val="1"/>
                <w:rtl w:val="0"/>
              </w:rPr>
              <w:t xml:space="preserve">Інформація про ресурс</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2">
            <w:pPr>
              <w:widowControl w:val="0"/>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3">
            <w:pPr>
              <w:widowControl w:val="0"/>
              <w:spacing w:line="276" w:lineRule="auto"/>
              <w:rPr/>
            </w:pPr>
            <w:r w:rsidDel="00000000" w:rsidR="00000000" w:rsidRPr="00000000">
              <w:rPr>
                <w:rtl w:val="0"/>
              </w:rPr>
              <w:t xml:space="preserve">routes</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4">
            <w:pPr>
              <w:widowControl w:val="0"/>
              <w:spacing w:line="276" w:lineRule="auto"/>
              <w:rPr/>
            </w:pPr>
            <w:r w:rsidDel="00000000" w:rsidR="00000000" w:rsidRPr="00000000">
              <w:rPr>
                <w:rtl w:val="0"/>
              </w:rPr>
              <w:t xml:space="preserve">Що є одним записом в таблиці (рядком)</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5">
            <w:pPr>
              <w:widowControl w:val="0"/>
              <w:spacing w:line="276" w:lineRule="auto"/>
              <w:rPr/>
            </w:pPr>
            <w:r w:rsidDel="00000000" w:rsidR="00000000" w:rsidRPr="00000000">
              <w:rPr>
                <w:rtl w:val="0"/>
              </w:rPr>
              <w:t xml:space="preserve">Один маршрут громадського транспорту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Розміщення нової версії ресурсу</w:t>
            </w:r>
          </w:p>
        </w:tc>
      </w:tr>
      <w:tr>
        <w:trPr>
          <w:trHeight w:val="420" w:hRule="atLeast"/>
        </w:trPr>
        <w:tc>
          <w:tcPr>
            <w:gridSpan w:val="2"/>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8">
            <w:pPr>
              <w:widowControl w:val="0"/>
              <w:spacing w:line="276" w:lineRule="auto"/>
              <w:jc w:val="center"/>
              <w:rPr>
                <w:b w:val="1"/>
              </w:rPr>
            </w:pPr>
            <w:r w:rsidDel="00000000" w:rsidR="00000000" w:rsidRPr="00000000">
              <w:rPr>
                <w:b w:val="1"/>
                <w:rtl w:val="0"/>
              </w:rPr>
              <w:t xml:space="preserve">Прикріплені файли</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A">
            <w:pPr>
              <w:widowControl w:val="0"/>
              <w:spacing w:line="276" w:lineRule="auto"/>
              <w:rPr/>
            </w:pPr>
            <w:r w:rsidDel="00000000" w:rsidR="00000000" w:rsidRPr="00000000">
              <w:rPr>
                <w:rtl w:val="0"/>
              </w:rPr>
              <w:t xml:space="preserve">Шаблон таблиці</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B">
            <w:pPr>
              <w:widowControl w:val="0"/>
              <w:spacing w:line="276" w:lineRule="auto"/>
              <w:rPr/>
            </w:pPr>
            <w:hyperlink r:id="rId28">
              <w:r w:rsidDel="00000000" w:rsidR="00000000" w:rsidRPr="00000000">
                <w:rPr>
                  <w:color w:val="1155cc"/>
                  <w:u w:val="single"/>
                  <w:rtl w:val="0"/>
                </w:rPr>
                <w:t xml:space="preserve">routes.xlsx</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C">
            <w:pPr>
              <w:widowControl w:val="0"/>
              <w:spacing w:line="276" w:lineRule="auto"/>
              <w:rPr/>
            </w:pPr>
            <w:r w:rsidDel="00000000" w:rsidR="00000000" w:rsidRPr="00000000">
              <w:rPr>
                <w:rtl w:val="0"/>
              </w:rPr>
              <w:t xml:space="preserve">Приклад таблиці</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D">
            <w:pPr>
              <w:spacing w:line="276" w:lineRule="auto"/>
              <w:rPr/>
            </w:pPr>
            <w:hyperlink r:id="rId29">
              <w:r w:rsidDel="00000000" w:rsidR="00000000" w:rsidRPr="00000000">
                <w:rPr>
                  <w:color w:val="1155cc"/>
                  <w:u w:val="single"/>
                  <w:rtl w:val="0"/>
                </w:rPr>
                <w:t xml:space="preserve">Example</w:t>
              </w:r>
            </w:hyperlink>
            <w:hyperlink r:id="rId30">
              <w:r w:rsidDel="00000000" w:rsidR="00000000" w:rsidRPr="00000000">
                <w:rPr>
                  <w:color w:val="1155cc"/>
                  <w:u w:val="single"/>
                  <w:rtl w:val="0"/>
                </w:rPr>
                <w:t xml:space="preserve">.xlsx</w:t>
              </w:r>
            </w:hyperlink>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E">
            <w:pPr>
              <w:widowControl w:val="0"/>
              <w:spacing w:line="276" w:lineRule="auto"/>
              <w:rPr/>
            </w:pPr>
            <w:r w:rsidDel="00000000" w:rsidR="00000000" w:rsidRPr="00000000">
              <w:rPr>
                <w:rtl w:val="0"/>
              </w:rPr>
              <w:t xml:space="preserve">Структура (XLSX, CSV, JSON)</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6F">
            <w:pPr>
              <w:spacing w:line="276" w:lineRule="auto"/>
              <w:rPr/>
            </w:pPr>
            <w:hyperlink r:id="rId31">
              <w:r w:rsidDel="00000000" w:rsidR="00000000" w:rsidRPr="00000000">
                <w:rPr>
                  <w:color w:val="1155cc"/>
                  <w:u w:val="single"/>
                  <w:rtl w:val="0"/>
                </w:rPr>
                <w:t xml:space="preserve">Structure.xlsx</w:t>
              </w:r>
            </w:hyperlink>
            <w:r w:rsidDel="00000000" w:rsidR="00000000" w:rsidRPr="00000000">
              <w:rPr>
                <w:rtl w:val="0"/>
              </w:rPr>
              <w:t xml:space="preserve">, </w:t>
            </w:r>
            <w:hyperlink r:id="rId32">
              <w:r w:rsidDel="00000000" w:rsidR="00000000" w:rsidRPr="00000000">
                <w:rPr>
                  <w:color w:val="1155cc"/>
                  <w:u w:val="single"/>
                  <w:rtl w:val="0"/>
                </w:rPr>
                <w:t xml:space="preserve">Structure.csv</w:t>
              </w:r>
            </w:hyperlink>
            <w:r w:rsidDel="00000000" w:rsidR="00000000" w:rsidRPr="00000000">
              <w:rPr>
                <w:rtl w:val="0"/>
              </w:rPr>
              <w:t xml:space="preserve">, </w:t>
            </w:r>
            <w:hyperlink r:id="rId33">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70">
      <w:pPr>
        <w:spacing w:line="276" w:lineRule="auto"/>
        <w:rPr/>
      </w:pP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34">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72">
      <w:pPr>
        <w:spacing w:line="276" w:lineRule="auto"/>
        <w:jc w:val="both"/>
        <w:rPr/>
      </w:pPr>
      <w:r w:rsidDel="00000000" w:rsidR="00000000" w:rsidRPr="00000000">
        <w:rPr>
          <w:rtl w:val="0"/>
        </w:rPr>
      </w:r>
    </w:p>
    <w:p w:rsidR="00000000" w:rsidDel="00000000" w:rsidP="00000000" w:rsidRDefault="00000000" w:rsidRPr="00000000" w14:paraId="00000073">
      <w:pPr>
        <w:spacing w:after="200" w:line="276" w:lineRule="auto"/>
        <w:jc w:val="center"/>
        <w:rPr>
          <w:b w:val="1"/>
        </w:rPr>
      </w:pPr>
      <w:r w:rsidDel="00000000" w:rsidR="00000000" w:rsidRPr="00000000">
        <w:rPr>
          <w:b w:val="1"/>
          <w:rtl w:val="0"/>
        </w:rPr>
        <w:t xml:space="preserve">Таблиця 2 — Структура таблиці (ресурсу) routes</w:t>
      </w:r>
    </w:p>
    <w:tbl>
      <w:tblPr>
        <w:tblStyle w:val="Table7"/>
        <w:tblW w:w="9094.608077959376"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0.5008688493872"/>
        <w:gridCol w:w="1299.1072091099884"/>
        <w:gridCol w:w="3810"/>
        <w:gridCol w:w="1335"/>
        <w:gridCol w:w="1410"/>
        <w:tblGridChange w:id="0">
          <w:tblGrid>
            <w:gridCol w:w="1240.5008688493872"/>
            <w:gridCol w:w="1299.1072091099884"/>
            <w:gridCol w:w="3810"/>
            <w:gridCol w:w="1335"/>
            <w:gridCol w:w="141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route_id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A">
            <w:pPr>
              <w:widowControl w:val="0"/>
              <w:spacing w:line="276" w:lineRule="auto"/>
              <w:rPr/>
            </w:pPr>
            <w:r w:rsidDel="00000000" w:rsidR="00000000" w:rsidRPr="00000000">
              <w:rPr>
                <w:rtl w:val="0"/>
              </w:rPr>
              <w:t xml:space="preserve">Ідентифікатор маршруту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Унікальний ідентифікатор маршруту громадського транспорту. Ідентифікатором може бути номер маршруту. Наприклад: 23А.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spacing w:line="276" w:lineRule="auto"/>
              <w:rPr/>
            </w:pPr>
            <w:r w:rsidDel="00000000" w:rsidR="00000000" w:rsidRPr="00000000">
              <w:rPr>
                <w:rtl w:val="0"/>
              </w:rPr>
              <w:t xml:space="preserve">agency_id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Ідентифікатор перевізника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Ідентифікатор перевізника з таблиці agency (колонка </w:t>
            </w:r>
            <w:r w:rsidDel="00000000" w:rsidR="00000000" w:rsidRPr="00000000">
              <w:rPr>
                <w:rtl w:val="0"/>
              </w:rPr>
              <w:t xml:space="preserve">agency_id</w:t>
            </w:r>
            <w:r w:rsidDel="00000000" w:rsidR="00000000" w:rsidRPr="00000000">
              <w:rPr>
                <w:rtl w:val="0"/>
              </w:rPr>
              <w:t xml:space="preserve">). Наприклад: 01234567. Якщо на маршруті працює декілька перевізників, інформація для кожного з перевізників </w:t>
            </w:r>
            <w:r w:rsidDel="00000000" w:rsidR="00000000" w:rsidRPr="00000000">
              <w:rPr>
                <w:rtl w:val="0"/>
              </w:rPr>
              <w:t xml:space="preserve">указується</w:t>
            </w:r>
            <w:r w:rsidDel="00000000" w:rsidR="00000000" w:rsidRPr="00000000">
              <w:rPr>
                <w:rtl w:val="0"/>
              </w:rPr>
              <w:t xml:space="preserve"> в окремому рядку. При цьому ідентифікатор маршруту та інша інформація мають дублюватися.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route_short_name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Коротка назва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5">
            <w:pPr>
              <w:widowControl w:val="0"/>
              <w:spacing w:line="276" w:lineRule="auto"/>
              <w:rPr/>
            </w:pPr>
            <w:r w:rsidDel="00000000" w:rsidR="00000000" w:rsidRPr="00000000">
              <w:rPr>
                <w:rtl w:val="0"/>
              </w:rPr>
              <w:t xml:space="preserve">Коротка назва маршруту, що використовується для навігації пасажирів у схемах, графіках руху. Як правило, це номер маршруту. Наприклад: 23А.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Істина (true)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spacing w:line="276" w:lineRule="auto"/>
              <w:rPr/>
            </w:pPr>
            <w:r w:rsidDel="00000000" w:rsidR="00000000" w:rsidRPr="00000000">
              <w:rPr>
                <w:rtl w:val="0"/>
              </w:rPr>
              <w:t xml:space="preserve">route_long_name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Повна назва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A">
            <w:pPr>
              <w:widowControl w:val="0"/>
              <w:spacing w:line="276" w:lineRule="auto"/>
              <w:rPr/>
            </w:pPr>
            <w:commentRangeStart w:id="1"/>
            <w:r w:rsidDel="00000000" w:rsidR="00000000" w:rsidRPr="00000000">
              <w:rPr>
                <w:rtl w:val="0"/>
              </w:rPr>
              <w:t xml:space="preserve">Повна назва маршруту або назва, що використовується в документах. Наприклад: Автобусний маршрут №23А вул. Марії Приймаченко — Металургійний комбінат.</w:t>
            </w:r>
            <w:commentRangeEnd w:id="1"/>
            <w:r w:rsidDel="00000000" w:rsidR="00000000" w:rsidRPr="00000000">
              <w:commentReference w:id="1"/>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rPr/>
            </w:pPr>
            <w:r w:rsidDel="00000000" w:rsidR="00000000" w:rsidRPr="00000000">
              <w:rPr>
                <w:rtl w:val="0"/>
              </w:rPr>
              <w:t xml:space="preserve">Істина (true)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route_desc</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Опис маршруту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F">
            <w:pPr>
              <w:widowControl w:val="0"/>
              <w:spacing w:line="276" w:lineRule="auto"/>
              <w:rPr/>
            </w:pPr>
            <w:r w:rsidDel="00000000" w:rsidR="00000000" w:rsidRPr="00000000">
              <w:rPr>
                <w:rtl w:val="0"/>
              </w:rPr>
              <w:t xml:space="preserve">Опис маршруту містить кількісну та якісну інформацію про маршрут. Наприклад: Автобус розпочинає рух із мікрорайону Заріччя, рухається центром міста (вул. Сергія Параджанова) та прибуває до залізничного вокзалу. Тривалість маршруту 35 хв. Частота відправлення автобусів 5-25 хв.</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route_type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spacing w:line="276" w:lineRule="auto"/>
              <w:rPr/>
            </w:pPr>
            <w:r w:rsidDel="00000000" w:rsidR="00000000" w:rsidRPr="00000000">
              <w:rPr>
                <w:rtl w:val="0"/>
              </w:rPr>
              <w:t xml:space="preserve">Тип транспорту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Тип транспортних засобів, що використовуються на маршруті, позначається кодом (лише цифра): 0 — трамвай, легка залізниця; 1 — метро; 2 — залізниця; 3 — автобус, тролейбус; 7 — фунікулер. Наприклад: 3.</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rPr/>
            </w:pPr>
            <w:r w:rsidDel="00000000" w:rsidR="00000000" w:rsidRPr="00000000">
              <w:rPr>
                <w:rtl w:val="0"/>
              </w:rPr>
              <w:t xml:space="preserve">Ціле число (integer)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route_url</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Посилання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Посилання на сторінку в мережі Інтернет, що містить інформацію про маршрут. Посилання має починатися з http:// або https://. Наприклад: https://www.example.com.ua/r23</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rPr/>
            </w:pPr>
            <w:r w:rsidDel="00000000" w:rsidR="00000000" w:rsidRPr="00000000">
              <w:rPr>
                <w:rtl w:val="0"/>
              </w:rPr>
              <w:t xml:space="preserve">Посилання (anyURI)</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route_color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D">
            <w:pPr>
              <w:widowControl w:val="0"/>
              <w:spacing w:line="276" w:lineRule="auto"/>
              <w:rPr/>
            </w:pPr>
            <w:r w:rsidDel="00000000" w:rsidR="00000000" w:rsidRPr="00000000">
              <w:rPr>
                <w:rtl w:val="0"/>
              </w:rPr>
              <w:t xml:space="preserve">Колір маршруту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Колір, яким позначається лінія маршруту на схемах. Він може бути позначеним словом у чоловічому роді або кодом. Наприклад: червоний. Якщо розпорядник має навички роботи з кодами кольорів HTML, бажано вказати код. Наприклад: FF0000. Якщо колір відсутній, зазначається білий колір або FFFFFF.</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F">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0">
            <w:pPr>
              <w:rPr/>
            </w:pPr>
            <w:r w:rsidDel="00000000" w:rsidR="00000000" w:rsidRPr="00000000">
              <w:rPr>
                <w:rtl w:val="0"/>
              </w:rPr>
              <w:t xml:space="preserve">Хибність (false)</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1">
            <w:pPr>
              <w:widowControl w:val="0"/>
              <w:spacing w:line="276" w:lineRule="auto"/>
              <w:rPr/>
            </w:pPr>
            <w:r w:rsidDel="00000000" w:rsidR="00000000" w:rsidRPr="00000000">
              <w:rPr>
                <w:rtl w:val="0"/>
              </w:rPr>
              <w:t xml:space="preserve">route_text_color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Колір тексту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Колір, яким позначається текст про маршрут на схемах. Він може бути позначеним словом у чоловічому роді або кодом. Наприклад: чорний. Якщо розпорядник має навички роботи з кодами кольорів HTML, бажано вказати код. Наприклад: 000000. Якщо колір відсутній, зазначається білий колір або FFFFFF.</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4">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5">
            <w:pPr>
              <w:rPr/>
            </w:pPr>
            <w:r w:rsidDel="00000000" w:rsidR="00000000" w:rsidRPr="00000000">
              <w:rPr>
                <w:rtl w:val="0"/>
              </w:rPr>
              <w:t xml:space="preserve">Хибність (false)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route_sort_order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Порядковий номер</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spacing w:line="276" w:lineRule="auto"/>
              <w:rPr/>
            </w:pPr>
            <w:r w:rsidDel="00000000" w:rsidR="00000000" w:rsidRPr="00000000">
              <w:rPr>
                <w:rtl w:val="0"/>
              </w:rPr>
              <w:t xml:space="preserve">Довільний порядковий номер використовується для того, щоб розташувати маршрути в зручному порядку для користувачів таблиці. Наприклад: 002.</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rPr/>
            </w:pPr>
            <w:r w:rsidDel="00000000" w:rsidR="00000000" w:rsidRPr="00000000">
              <w:rPr>
                <w:rtl w:val="0"/>
              </w:rPr>
              <w:t xml:space="preserve">Хибність (false)</w:t>
            </w:r>
          </w:p>
        </w:tc>
      </w:tr>
    </w:tbl>
    <w:p w:rsidR="00000000" w:rsidDel="00000000" w:rsidP="00000000" w:rsidRDefault="00000000" w:rsidRPr="00000000" w14:paraId="000000AB">
      <w:pPr>
        <w:spacing w:line="276" w:lineRule="auto"/>
        <w:jc w:val="both"/>
        <w:rPr/>
      </w:pPr>
      <w:r w:rsidDel="00000000" w:rsidR="00000000" w:rsidRPr="00000000">
        <w:rPr>
          <w:rtl w:val="0"/>
        </w:rPr>
      </w:r>
    </w:p>
    <w:p w:rsidR="00000000" w:rsidDel="00000000" w:rsidP="00000000" w:rsidRDefault="00000000" w:rsidRPr="00000000" w14:paraId="000000AC">
      <w:pPr>
        <w:pStyle w:val="Heading1"/>
        <w:spacing w:line="276" w:lineRule="auto"/>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D">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AE">
      <w:pPr>
        <w:spacing w:after="200" w:line="276" w:lineRule="auto"/>
        <w:jc w:val="center"/>
        <w:rPr/>
      </w:pPr>
      <w:r w:rsidDel="00000000" w:rsidR="00000000" w:rsidRPr="00000000">
        <w:rPr>
          <w:rtl w:val="0"/>
        </w:rPr>
      </w:r>
    </w:p>
    <w:p w:rsidR="00000000" w:rsidDel="00000000" w:rsidP="00000000" w:rsidRDefault="00000000" w:rsidRPr="00000000" w14:paraId="000000AF">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9"/>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50"/>
        <w:tblGridChange w:id="0">
          <w:tblGrid>
            <w:gridCol w:w="3195"/>
            <w:gridCol w:w="5850"/>
          </w:tblGrid>
        </w:tblGridChange>
      </w:tblGrid>
      <w:tr>
        <w:trPr>
          <w:trHeight w:val="10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0">
            <w:pPr>
              <w:widowControl w:val="0"/>
              <w:spacing w:line="276" w:lineRule="auto"/>
              <w:rPr>
                <w:b w:val="1"/>
              </w:rPr>
            </w:pPr>
            <w:r w:rsidDel="00000000" w:rsidR="00000000" w:rsidRPr="00000000">
              <w:rPr>
                <w:b w:val="1"/>
                <w:rtl w:val="0"/>
              </w:rPr>
              <w:t xml:space="preserve">Назва поля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1">
            <w:pPr>
              <w:widowControl w:val="0"/>
              <w:spacing w:line="276" w:lineRule="auto"/>
              <w:rPr>
                <w:b w:val="1"/>
              </w:rPr>
            </w:pPr>
            <w:r w:rsidDel="00000000" w:rsidR="00000000" w:rsidRPr="00000000">
              <w:rPr>
                <w:b w:val="1"/>
                <w:rtl w:val="0"/>
              </w:rPr>
              <w:t xml:space="preserve">Приклад заповнення</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2">
            <w:pPr>
              <w:spacing w:line="276" w:lineRule="auto"/>
              <w:rPr/>
            </w:pPr>
            <w:r w:rsidDel="00000000" w:rsidR="00000000" w:rsidRPr="00000000">
              <w:rPr>
                <w:rtl w:val="0"/>
              </w:rPr>
              <w:t xml:space="preserve">Назва набору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3">
            <w:pPr>
              <w:widowControl w:val="0"/>
              <w:spacing w:line="276" w:lineRule="auto"/>
              <w:rPr/>
            </w:pPr>
            <w:r w:rsidDel="00000000" w:rsidR="00000000" w:rsidRPr="00000000">
              <w:rPr>
                <w:rtl w:val="0"/>
              </w:rPr>
              <w:t xml:space="preserve">Перелік перевізників, що надають послуги пасажирського автомобільного транспорту, та маршрути перевезення міста Славутича</w:t>
            </w:r>
          </w:p>
        </w:tc>
      </w:tr>
      <w:tr>
        <w:trPr>
          <w:trHeight w:val="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4">
            <w:pPr>
              <w:spacing w:line="276" w:lineRule="auto"/>
              <w:rPr/>
            </w:pPr>
            <w:r w:rsidDel="00000000" w:rsidR="00000000" w:rsidRPr="00000000">
              <w:rPr>
                <w:rtl w:val="0"/>
              </w:rPr>
              <w:t xml:space="preserve">Відомості про мову інформації, яка міститься у наборі</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5">
            <w:pPr>
              <w:widowControl w:val="0"/>
              <w:spacing w:line="276" w:lineRule="auto"/>
              <w:rPr/>
            </w:pPr>
            <w:r w:rsidDel="00000000" w:rsidR="00000000" w:rsidRPr="00000000">
              <w:rPr>
                <w:rtl w:val="0"/>
              </w:rPr>
              <w:t xml:space="preserve">Українська</w:t>
            </w:r>
          </w:p>
        </w:tc>
      </w:tr>
      <w:tr>
        <w:trPr>
          <w:trHeight w:val="10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6">
            <w:pPr>
              <w:spacing w:line="276" w:lineRule="auto"/>
              <w:rPr>
                <w:shd w:fill="fcfcfc" w:val="clear"/>
              </w:rPr>
            </w:pPr>
            <w:r w:rsidDel="00000000" w:rsidR="00000000" w:rsidRPr="00000000">
              <w:rPr>
                <w:shd w:fill="fcfcfc" w:val="clear"/>
                <w:rtl w:val="0"/>
              </w:rPr>
              <w:t xml:space="preserve">Частота оновлення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7">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rPr>
          <w:trHeight w:val="40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8">
            <w:pPr>
              <w:spacing w:line="276" w:lineRule="auto"/>
              <w:rPr/>
            </w:pPr>
            <w:r w:rsidDel="00000000" w:rsidR="00000000" w:rsidRPr="00000000">
              <w:rPr>
                <w:shd w:fill="fcfcfc" w:val="clear"/>
                <w:rtl w:val="0"/>
              </w:rPr>
              <w:t xml:space="preserve">Опис</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9">
            <w:pPr>
              <w:widowControl w:val="0"/>
              <w:spacing w:line="276" w:lineRule="auto"/>
              <w:rPr/>
            </w:pPr>
            <w:r w:rsidDel="00000000" w:rsidR="00000000" w:rsidRPr="00000000">
              <w:rPr>
                <w:rtl w:val="0"/>
              </w:rPr>
              <w:t xml:space="preserve">Набір містить дані про суб’єктів господарювання, що надають послуги пасажирського автомобільного транспорту (ресурс agency) та дані про маршрути громадського транспорту (ресурс routes).</w:t>
            </w:r>
          </w:p>
        </w:tc>
      </w:tr>
      <w:tr>
        <w:trPr>
          <w:trHeight w:val="18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A">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B">
            <w:pPr>
              <w:widowControl w:val="0"/>
              <w:spacing w:line="276" w:lineRule="auto"/>
              <w:rPr/>
            </w:pPr>
            <w:r w:rsidDel="00000000" w:rsidR="00000000" w:rsidRPr="00000000">
              <w:rPr>
                <w:rtl w:val="0"/>
              </w:rPr>
              <w:t xml:space="preserve">Закон України «Про місцеве самоврядування в Україні», Наказ Мінтрансзв'язку України від 07.05.2010 № 278, Постанова КМУ від 03.12.2008 № 1081, Постанова КМУ від 18.02.1997 № 176, Наказ Мінінфраструктури від 15.07.2013 № 480</w:t>
            </w:r>
            <w:r w:rsidDel="00000000" w:rsidR="00000000" w:rsidRPr="00000000">
              <w:rPr>
                <w:rtl w:val="0"/>
              </w:rPr>
            </w:r>
          </w:p>
        </w:tc>
      </w:tr>
      <w:tr>
        <w:trPr>
          <w:trHeight w:val="1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C">
            <w:pPr>
              <w:spacing w:line="276" w:lineRule="auto"/>
              <w:rPr>
                <w:shd w:fill="fcfcfc" w:val="clear"/>
              </w:rPr>
            </w:pPr>
            <w:r w:rsidDel="00000000" w:rsidR="00000000" w:rsidRPr="00000000">
              <w:rPr>
                <w:shd w:fill="fcfcfc" w:val="clear"/>
                <w:rtl w:val="0"/>
              </w:rPr>
              <w:t xml:space="preserve">Ключові слова</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D">
            <w:pPr>
              <w:widowControl w:val="0"/>
              <w:spacing w:line="276" w:lineRule="auto"/>
              <w:rPr/>
            </w:pPr>
            <w:r w:rsidDel="00000000" w:rsidR="00000000" w:rsidRPr="00000000">
              <w:rPr>
                <w:rtl w:val="0"/>
              </w:rPr>
              <w:t xml:space="preserve">транспорт, перевізники, автобус, тролейбус, маршрут, GTFS, громадський транспорт</w:t>
            </w:r>
          </w:p>
        </w:tc>
      </w:tr>
      <w:tr>
        <w:trPr>
          <w:trHeight w:val="46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E">
            <w:pPr>
              <w:spacing w:line="276" w:lineRule="auto"/>
              <w:rPr>
                <w:shd w:fill="fcfcfc" w:val="clear"/>
              </w:rPr>
            </w:pPr>
            <w:r w:rsidDel="00000000" w:rsidR="00000000" w:rsidRPr="00000000">
              <w:rPr>
                <w:shd w:fill="fcfcfc" w:val="clear"/>
                <w:rtl w:val="0"/>
              </w:rPr>
              <w:t xml:space="preserve">Відповідальна особа</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BF">
            <w:pPr>
              <w:widowControl w:val="0"/>
              <w:spacing w:line="276" w:lineRule="auto"/>
              <w:rPr/>
            </w:pPr>
            <w:r w:rsidDel="00000000" w:rsidR="00000000" w:rsidRPr="00000000">
              <w:rPr>
                <w:rtl w:val="0"/>
              </w:rPr>
              <w:t xml:space="preserve">Симоненко Олена Петрівна</w:t>
            </w:r>
          </w:p>
        </w:tc>
      </w:tr>
      <w:tr>
        <w:trPr>
          <w:trHeight w:val="60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0">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1">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C2">
      <w:pPr>
        <w:spacing w:line="276" w:lineRule="auto"/>
        <w:rPr>
          <w:b w:val="1"/>
        </w:rPr>
      </w:pPr>
      <w:r w:rsidDel="00000000" w:rsidR="00000000" w:rsidRPr="00000000">
        <w:rPr>
          <w:rtl w:val="0"/>
        </w:rPr>
      </w:r>
    </w:p>
    <w:p w:rsidR="00000000" w:rsidDel="00000000" w:rsidP="00000000" w:rsidRDefault="00000000" w:rsidRPr="00000000" w14:paraId="000000C3">
      <w:pPr>
        <w:spacing w:line="276" w:lineRule="auto"/>
        <w:jc w:val="center"/>
        <w:rPr>
          <w:b w:val="1"/>
        </w:rPr>
      </w:pPr>
      <w:r w:rsidDel="00000000" w:rsidR="00000000" w:rsidRPr="00000000">
        <w:rPr>
          <w:b w:val="1"/>
          <w:rtl w:val="0"/>
        </w:rPr>
        <w:t xml:space="preserve">Таблиця 4 — Приклад паспорта ресурсу agency</w:t>
      </w:r>
    </w:p>
    <w:p w:rsidR="00000000" w:rsidDel="00000000" w:rsidP="00000000" w:rsidRDefault="00000000" w:rsidRPr="00000000" w14:paraId="000000C4">
      <w:pPr>
        <w:spacing w:line="276" w:lineRule="auto"/>
        <w:jc w:val="center"/>
        <w:rPr>
          <w:b w:val="1"/>
        </w:rPr>
      </w:pPr>
      <w:r w:rsidDel="00000000" w:rsidR="00000000" w:rsidRPr="00000000">
        <w:rPr>
          <w:rtl w:val="0"/>
        </w:rPr>
      </w:r>
    </w:p>
    <w:tbl>
      <w:tblPr>
        <w:tblStyle w:val="Table10"/>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50"/>
        <w:tblGridChange w:id="0">
          <w:tblGrid>
            <w:gridCol w:w="3195"/>
            <w:gridCol w:w="5850"/>
          </w:tblGrid>
        </w:tblGridChange>
      </w:tblGrid>
      <w:tr>
        <w:trPr>
          <w:trHeight w:val="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5">
            <w:pPr>
              <w:widowControl w:val="0"/>
              <w:spacing w:line="276" w:lineRule="auto"/>
              <w:rPr>
                <w:b w:val="1"/>
              </w:rPr>
            </w:pPr>
            <w:r w:rsidDel="00000000" w:rsidR="00000000" w:rsidRPr="00000000">
              <w:rPr>
                <w:b w:val="1"/>
                <w:rtl w:val="0"/>
              </w:rPr>
              <w:t xml:space="preserve">Назва поля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6">
            <w:pPr>
              <w:widowControl w:val="0"/>
              <w:spacing w:line="276" w:lineRule="auto"/>
              <w:rPr>
                <w:b w:val="1"/>
              </w:rPr>
            </w:pPr>
            <w:r w:rsidDel="00000000" w:rsidR="00000000" w:rsidRPr="00000000">
              <w:rPr>
                <w:b w:val="1"/>
                <w:rtl w:val="0"/>
              </w:rPr>
              <w:t xml:space="preserve">Приклад заповнення</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7">
            <w:pPr>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8">
            <w:pPr>
              <w:widowControl w:val="0"/>
              <w:spacing w:line="276" w:lineRule="auto"/>
              <w:rPr/>
            </w:pPr>
            <w:r w:rsidDel="00000000" w:rsidR="00000000" w:rsidRPr="00000000">
              <w:rPr>
                <w:rtl w:val="0"/>
              </w:rPr>
              <w:t xml:space="preserve">agency.xlsx</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9">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A">
            <w:pPr>
              <w:widowControl w:val="0"/>
              <w:spacing w:line="276" w:lineRule="auto"/>
              <w:rPr/>
            </w:pPr>
            <w:r w:rsidDel="00000000" w:rsidR="00000000" w:rsidRPr="00000000">
              <w:rPr>
                <w:rtl w:val="0"/>
              </w:rPr>
              <w:t xml:space="preserve">Таблиця містить назви, ідентифікатори та контактні дані суб’єктів господарювання, що надають послуги пасажирського автомобільного транспорту. Кожним записом в таблиці є один перевізник.</w:t>
            </w:r>
          </w:p>
        </w:tc>
      </w:tr>
      <w:tr>
        <w:trPr>
          <w:trHeight w:val="16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B">
            <w:pPr>
              <w:spacing w:line="276" w:lineRule="auto"/>
              <w:rPr>
                <w:shd w:fill="fcfcfc" w:val="clear"/>
              </w:rPr>
            </w:pPr>
            <w:r w:rsidDel="00000000" w:rsidR="00000000" w:rsidRPr="00000000">
              <w:rPr>
                <w:shd w:fill="fcfcfc" w:val="clear"/>
                <w:rtl w:val="0"/>
              </w:rPr>
              <w:t xml:space="preserve">Формат</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CC">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CD">
      <w:pPr>
        <w:tabs>
          <w:tab w:val="right" w:pos="9025"/>
        </w:tabs>
        <w:spacing w:before="200" w:line="276" w:lineRule="auto"/>
        <w:rPr/>
      </w:pPr>
      <w:r w:rsidDel="00000000" w:rsidR="00000000" w:rsidRPr="00000000">
        <w:rPr>
          <w:rtl w:val="0"/>
        </w:rPr>
      </w:r>
    </w:p>
    <w:p w:rsidR="00000000" w:rsidDel="00000000" w:rsidP="00000000" w:rsidRDefault="00000000" w:rsidRPr="00000000" w14:paraId="000000CE">
      <w:pPr>
        <w:spacing w:line="276" w:lineRule="auto"/>
        <w:jc w:val="center"/>
        <w:rPr>
          <w:b w:val="1"/>
        </w:rPr>
      </w:pPr>
      <w:r w:rsidDel="00000000" w:rsidR="00000000" w:rsidRPr="00000000">
        <w:rPr>
          <w:b w:val="1"/>
          <w:rtl w:val="0"/>
        </w:rPr>
        <w:t xml:space="preserve">Таблиця 5 — Приклад паспорта ресурсу routes</w:t>
      </w:r>
    </w:p>
    <w:p w:rsidR="00000000" w:rsidDel="00000000" w:rsidP="00000000" w:rsidRDefault="00000000" w:rsidRPr="00000000" w14:paraId="000000CF">
      <w:pPr>
        <w:spacing w:line="276" w:lineRule="auto"/>
        <w:rPr>
          <w:b w:val="1"/>
        </w:rPr>
      </w:pPr>
      <w:r w:rsidDel="00000000" w:rsidR="00000000" w:rsidRPr="00000000">
        <w:rPr>
          <w:rtl w:val="0"/>
        </w:rPr>
      </w:r>
    </w:p>
    <w:tbl>
      <w:tblPr>
        <w:tblStyle w:val="Table1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850"/>
        <w:tblGridChange w:id="0">
          <w:tblGrid>
            <w:gridCol w:w="3195"/>
            <w:gridCol w:w="5850"/>
          </w:tblGrid>
        </w:tblGridChange>
      </w:tblGrid>
      <w:tr>
        <w:trPr>
          <w:trHeight w:val="2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0">
            <w:pPr>
              <w:widowControl w:val="0"/>
              <w:spacing w:line="276" w:lineRule="auto"/>
              <w:rPr>
                <w:b w:val="1"/>
              </w:rPr>
            </w:pPr>
            <w:r w:rsidDel="00000000" w:rsidR="00000000" w:rsidRPr="00000000">
              <w:rPr>
                <w:b w:val="1"/>
                <w:rtl w:val="0"/>
              </w:rPr>
              <w:t xml:space="preserve">Назва поля</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1">
            <w:pPr>
              <w:widowControl w:val="0"/>
              <w:spacing w:line="276" w:lineRule="auto"/>
              <w:rPr>
                <w:b w:val="1"/>
              </w:rPr>
            </w:pPr>
            <w:r w:rsidDel="00000000" w:rsidR="00000000" w:rsidRPr="00000000">
              <w:rPr>
                <w:b w:val="1"/>
                <w:rtl w:val="0"/>
              </w:rPr>
              <w:t xml:space="preserve">Приклад заповнення</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2">
            <w:pPr>
              <w:spacing w:line="276" w:lineRule="auto"/>
              <w:rPr/>
            </w:pPr>
            <w:r w:rsidDel="00000000" w:rsidR="00000000" w:rsidRPr="00000000">
              <w:rPr>
                <w:rtl w:val="0"/>
              </w:rPr>
              <w:t xml:space="preserve">Назва ресурсу</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3">
            <w:pPr>
              <w:widowControl w:val="0"/>
              <w:spacing w:line="276" w:lineRule="auto"/>
              <w:rPr/>
            </w:pPr>
            <w:r w:rsidDel="00000000" w:rsidR="00000000" w:rsidRPr="00000000">
              <w:rPr>
                <w:rtl w:val="0"/>
              </w:rPr>
              <w:t xml:space="preserve">routes.xlsx</w:t>
            </w:r>
          </w:p>
        </w:tc>
      </w:tr>
      <w:t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4">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5">
            <w:pPr>
              <w:widowControl w:val="0"/>
              <w:spacing w:line="276" w:lineRule="auto"/>
              <w:rPr/>
            </w:pPr>
            <w:r w:rsidDel="00000000" w:rsidR="00000000" w:rsidRPr="00000000">
              <w:rPr>
                <w:rtl w:val="0"/>
              </w:rPr>
              <w:t xml:space="preserve">Таблиця містить назву, опис, тип транспортних засобів, колір позначення на схемах маршрутів громадського транспорту, а також ідентифікатори перевізників, що обслуговують маршрути. Кожним записом в таблиці є маршрут на якому виконує перевезення один перевізник.</w:t>
            </w:r>
          </w:p>
        </w:tc>
      </w:tr>
      <w:tr>
        <w:trPr>
          <w:trHeight w:val="160" w:hRule="atLeast"/>
        </w:trPr>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6">
            <w:pPr>
              <w:spacing w:line="276" w:lineRule="auto"/>
              <w:rPr>
                <w:shd w:fill="fcfcfc" w:val="clear"/>
              </w:rPr>
            </w:pPr>
            <w:r w:rsidDel="00000000" w:rsidR="00000000" w:rsidRPr="00000000">
              <w:rPr>
                <w:shd w:fill="fcfcfc" w:val="clear"/>
                <w:rtl w:val="0"/>
              </w:rPr>
              <w:t xml:space="preserve">Формат</w:t>
            </w:r>
          </w:p>
        </w:tc>
        <w:tc>
          <w:tcPr>
            <w:tcBorders>
              <w:top w:color="cccccc" w:space="0" w:sz="8" w:val="single"/>
              <w:left w:color="cccccc" w:space="0" w:sz="8" w:val="single"/>
              <w:bottom w:color="cccccc" w:space="0" w:sz="8" w:val="single"/>
              <w:right w:color="cccccc" w:space="0" w:sz="8" w:val="single"/>
            </w:tcBorders>
          </w:tcPr>
          <w:p w:rsidR="00000000" w:rsidDel="00000000" w:rsidP="00000000" w:rsidRDefault="00000000" w:rsidRPr="00000000" w14:paraId="000000D7">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Максим Медведчук" w:id="1" w:date="2019-12-26T14:52:59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Пропоную добавити 2 поля, початок і кінець маршруту, так як завдяки якому буде зручно орієнтуватись у громадському русі для користувача.</w:t>
      </w:r>
    </w:p>
  </w:comment>
  <w:comment w:author="Максим Медведчук" w:id="0" w:date="2019-12-27T08:56:26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одних полях потрібно + в інших ні,  чому не має одного стандарту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way.in.ua/ua/cities/kyiv" TargetMode="External"/><Relationship Id="rId22" Type="http://schemas.openxmlformats.org/officeDocument/2006/relationships/hyperlink" Target="https://github.com/tapas-opendata/decreet-835-mun/raw/master/transport/agencies-routes/agency/Example.xlsx" TargetMode="External"/><Relationship Id="rId21" Type="http://schemas.openxmlformats.org/officeDocument/2006/relationships/hyperlink" Target="https://github.com/tapas-opendata/decreet-835-mun/raw/master/transport/agencies-routes/agency/agency.xlsx" TargetMode="External"/><Relationship Id="rId24" Type="http://schemas.openxmlformats.org/officeDocument/2006/relationships/hyperlink" Target="https://github.com/tapas-opendata/decreet-835-mun/raw/master/transport/agencies-routes/agency/Structure.xlsx" TargetMode="External"/><Relationship Id="rId23" Type="http://schemas.openxmlformats.org/officeDocument/2006/relationships/hyperlink" Target="https://github.com/tapas-opendata/decreet-835-mun/raw/master/transport/agencies-routes/agency/Example.xls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1081-2008-%D0%BF" TargetMode="External"/><Relationship Id="rId26" Type="http://schemas.openxmlformats.org/officeDocument/2006/relationships/hyperlink" Target="https://raw.githubusercontent.com/tapas-opendata/decreet-835-mun/master/transport/agencies-routes/agency/Structure.json" TargetMode="External"/><Relationship Id="rId25" Type="http://schemas.openxmlformats.org/officeDocument/2006/relationships/hyperlink" Target="https://raw.githubusercontent.com/tapas-opendata/decreet-835-mun/master/transport/agencies-routes/agency/Structure.csv" TargetMode="External"/><Relationship Id="rId28" Type="http://schemas.openxmlformats.org/officeDocument/2006/relationships/hyperlink" Target="https://github.com/tapas-opendata/decreet-835-mun/raw/master/transport/agencies-routes/routes/routes.xlsx" TargetMode="External"/><Relationship Id="rId27" Type="http://schemas.openxmlformats.org/officeDocument/2006/relationships/hyperlink" Target="https://docs.ckan.org/en/latest/maintaining/datastore.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tapas-opendata/decreet-835-mun/raw/master/transport/agencies-routes/routes/Example.xlsx" TargetMode="Externa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z0408-10" TargetMode="External"/><Relationship Id="rId31" Type="http://schemas.openxmlformats.org/officeDocument/2006/relationships/hyperlink" Target="https://github.com/tapas-opendata/decreet-835-mun/raw/master/transport/agencies-routes/routes/Structure.xlsx" TargetMode="External"/><Relationship Id="rId30" Type="http://schemas.openxmlformats.org/officeDocument/2006/relationships/hyperlink" Target="https://github.com/tapas-opendata/decreet-835-mun/raw/master/transport/agencies-routes/routes/Example.xlsx" TargetMode="External"/><Relationship Id="rId11" Type="http://schemas.openxmlformats.org/officeDocument/2006/relationships/hyperlink" Target="https://zakon.rada.gov.ua/laws/show/z1282-13" TargetMode="External"/><Relationship Id="rId33" Type="http://schemas.openxmlformats.org/officeDocument/2006/relationships/hyperlink" Target="https://raw.githubusercontent.com/tapas-opendata/decreet-835-mun/master/transport/agencies-routes/routes/Structure.json" TargetMode="External"/><Relationship Id="rId10" Type="http://schemas.openxmlformats.org/officeDocument/2006/relationships/hyperlink" Target="https://zakon.rada.gov.ua/laws/show/176-97-%D0%BF" TargetMode="External"/><Relationship Id="rId32" Type="http://schemas.openxmlformats.org/officeDocument/2006/relationships/hyperlink" Target="https://raw.githubusercontent.com/tapas-opendata/decreet-835-mun/master/transport/agencies-routes/routes/Structure.csv" TargetMode="External"/><Relationship Id="rId13" Type="http://schemas.openxmlformats.org/officeDocument/2006/relationships/hyperlink" Target="http://www.minregion.gov.ua/wp-content/uploads/2017/05/DBN-B.1-2-95.pdf" TargetMode="External"/><Relationship Id="rId12" Type="http://schemas.openxmlformats.org/officeDocument/2006/relationships/hyperlink" Target="https://zakon.rada.gov.ua/laws/show/280/97-%D0%B2%D1%80" TargetMode="External"/><Relationship Id="rId34" Type="http://schemas.openxmlformats.org/officeDocument/2006/relationships/hyperlink" Target="https://docs.ckan.org/en/latest/maintaining/datastore.html" TargetMode="External"/><Relationship Id="rId15" Type="http://schemas.openxmlformats.org/officeDocument/2006/relationships/hyperlink" Target="https://zakon.rada.gov.ua/laws/show/z0408-10" TargetMode="External"/><Relationship Id="rId14" Type="http://schemas.openxmlformats.org/officeDocument/2006/relationships/hyperlink" Target="https://zakon.rada.gov.ua/laws/show/z1282-13" TargetMode="External"/><Relationship Id="rId17" Type="http://schemas.openxmlformats.org/officeDocument/2006/relationships/hyperlink" Target="https://developers.google.com/transit/gtfs/" TargetMode="External"/><Relationship Id="rId16" Type="http://schemas.openxmlformats.org/officeDocument/2006/relationships/hyperlink" Target="https://zakon.rada.gov.ua/laws/show/1081-2008-%D0%BF" TargetMode="External"/><Relationship Id="rId19" Type="http://schemas.openxmlformats.org/officeDocument/2006/relationships/hyperlink" Target="https://www.google.com.ua/maps/" TargetMode="External"/><Relationship Id="rId18" Type="http://schemas.openxmlformats.org/officeDocument/2006/relationships/hyperlink" Target="https://developers.google.com/transit/g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