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certkw1jkfas" w:id="0"/>
      <w:bookmarkEnd w:id="0"/>
      <w:r w:rsidDel="00000000" w:rsidR="00000000" w:rsidRPr="00000000">
        <w:rPr>
          <w:rtl w:val="0"/>
        </w:rPr>
        <w:t xml:space="preserve">Дані про місце розміщення зупинок міського електро- та автомобільного транспорту</w:t>
      </w:r>
    </w:p>
    <w:p w:rsidR="00000000" w:rsidDel="00000000" w:rsidP="00000000" w:rsidRDefault="00000000" w:rsidRPr="00000000" w14:paraId="00000002">
      <w:pPr>
        <w:pStyle w:val="Heading1"/>
        <w:rPr/>
      </w:pPr>
      <w:bookmarkStart w:colFirst="0" w:colLast="0" w:name="_v896et4q1rml"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Наказ Мінтрансзв'язку України «Про затвердження Порядку розроблення та затвердження паспорта автобусного маршруту» від 07.05.2010 № 278</w:t>
              </w:r>
            </w:hyperlink>
            <w:r w:rsidDel="00000000" w:rsidR="00000000" w:rsidRPr="00000000">
              <w:rPr>
                <w:rtl w:val="0"/>
              </w:rPr>
              <w:t xml:space="preserve">, </w:t>
            </w:r>
            <w:hyperlink r:id="rId9">
              <w:r w:rsidDel="00000000" w:rsidR="00000000" w:rsidRPr="00000000">
                <w:rPr>
                  <w:color w:val="1155cc"/>
                  <w:u w:val="single"/>
                  <w:rtl w:val="0"/>
                </w:rPr>
                <w:t xml:space="preserve">ДБН 360-92 Містобудування. Планування та забудова міських і сільських поселень</w:t>
              </w:r>
            </w:hyperlink>
            <w:r w:rsidDel="00000000" w:rsidR="00000000" w:rsidRPr="00000000">
              <w:rPr>
                <w:rtl w:val="0"/>
              </w:rPr>
              <w:t xml:space="preserve">, </w:t>
            </w:r>
            <w:hyperlink r:id="rId10">
              <w:r w:rsidDel="00000000" w:rsidR="00000000" w:rsidRPr="00000000">
                <w:rPr>
                  <w:color w:val="1155cc"/>
                  <w:u w:val="single"/>
                  <w:rtl w:val="0"/>
                </w:rPr>
                <w:t xml:space="preserve">ГБН В.2.3-37641918-550:2018 Автомобільні дороги. Зупинки маршрутного транспорту. Загальні вимоги проектування</w:t>
              </w:r>
            </w:hyperlink>
            <w:r w:rsidDel="00000000" w:rsidR="00000000" w:rsidRPr="00000000">
              <w:rPr>
                <w:rtl w:val="0"/>
              </w:rPr>
              <w:t xml:space="preserve">, </w:t>
            </w:r>
            <w:hyperlink r:id="rId11">
              <w:r w:rsidDel="00000000" w:rsidR="00000000" w:rsidRPr="00000000">
                <w:rPr>
                  <w:color w:val="1155cc"/>
                  <w:u w:val="single"/>
                  <w:rtl w:val="0"/>
                </w:rPr>
                <w:t xml:space="preserve">ДБН Б.1-2-95 Склад, зміст, порядок розроблення, погодження і затвердження комплексних схем транспорту для міст України</w:t>
              </w:r>
            </w:hyperlink>
            <w:r w:rsidDel="00000000" w:rsidR="00000000" w:rsidRPr="00000000">
              <w:rPr>
                <w:rtl w:val="0"/>
              </w:rPr>
              <w:t xml:space="preserve">, </w:t>
            </w:r>
            <w:hyperlink r:id="rId12">
              <w:r w:rsidDel="00000000" w:rsidR="00000000" w:rsidRPr="00000000">
                <w:rPr>
                  <w:color w:val="1155cc"/>
                  <w:u w:val="single"/>
                  <w:rtl w:val="0"/>
                </w:rPr>
                <w:t xml:space="preserve">Наказ Мінфіну України «Про затвердження Положення (стандарту) бухгалтерського обліку 7 „Основні засоби“» від 27.04.2000 № 92</w:t>
              </w:r>
            </w:hyperlink>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Вимоги до проектування та розміщення зупинок громадського транспорту визначені ДБН 360-92 та ГБН В.2.3-37641918-550:2018. Дані про зупинки узагальнюються в графічних матеріалах комплексних схем транспорту (</w:t>
            </w:r>
            <w:r w:rsidDel="00000000" w:rsidR="00000000" w:rsidRPr="00000000">
              <w:rPr>
                <w:rtl w:val="0"/>
              </w:rPr>
              <w:t xml:space="preserve">ДБН Б.1-2-95</w:t>
            </w:r>
            <w:r w:rsidDel="00000000" w:rsidR="00000000" w:rsidRPr="00000000">
              <w:rPr>
                <w:rtl w:val="0"/>
              </w:rPr>
              <w:t xml:space="preserve">), паспортах автобусних маршрутів (</w:t>
            </w:r>
            <w:r w:rsidDel="00000000" w:rsidR="00000000" w:rsidRPr="00000000">
              <w:rPr>
                <w:rtl w:val="0"/>
              </w:rPr>
              <w:t xml:space="preserve">Наказ Мінтрансзв'язку України від 07.05.2010 № 278)</w:t>
            </w:r>
            <w:r w:rsidDel="00000000" w:rsidR="00000000" w:rsidRPr="00000000">
              <w:rPr>
                <w:rtl w:val="0"/>
              </w:rPr>
              <w:t xml:space="preserve">. Розпорядники також здійснюють бухгалтерський облік та інвентаризацію зупинок.</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Зміна мережі зупинок або їх характеристик.</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Щороку або 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Повноваження органів місцевого самоврядування у сфері організації руху міського пасажирського транспорту визначені статтею 30 </w:t>
      </w:r>
      <w:hyperlink r:id="rId13">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Вимоги до проектування та розміщення зупинок громадського транспорту визначені </w:t>
      </w:r>
      <w:hyperlink r:id="rId14">
        <w:r w:rsidDel="00000000" w:rsidR="00000000" w:rsidRPr="00000000">
          <w:rPr>
            <w:color w:val="1155cc"/>
            <w:u w:val="single"/>
            <w:rtl w:val="0"/>
          </w:rPr>
          <w:t xml:space="preserve">ДБН 360-92 Містобудування. Планування та забудова міських і сільських поселень</w:t>
        </w:r>
      </w:hyperlink>
      <w:r w:rsidDel="00000000" w:rsidR="00000000" w:rsidRPr="00000000">
        <w:rPr>
          <w:rtl w:val="0"/>
        </w:rPr>
        <w:t xml:space="preserve"> та </w:t>
      </w:r>
      <w:hyperlink r:id="rId15">
        <w:r w:rsidDel="00000000" w:rsidR="00000000" w:rsidRPr="00000000">
          <w:rPr>
            <w:color w:val="1155cc"/>
            <w:u w:val="single"/>
            <w:rtl w:val="0"/>
          </w:rPr>
          <w:t xml:space="preserve">ГБН В.2.3-37641918-550:2018 Автомобільні дороги. Зупинки маршрутного транспорту. Загальні вимоги проектування</w:t>
        </w:r>
      </w:hyperlink>
      <w:r w:rsidDel="00000000" w:rsidR="00000000" w:rsidRPr="00000000">
        <w:rPr>
          <w:rtl w:val="0"/>
        </w:rPr>
        <w:t xml:space="preserve">. </w:t>
      </w:r>
      <w:r w:rsidDel="00000000" w:rsidR="00000000" w:rsidRPr="00000000">
        <w:rPr>
          <w:rtl w:val="0"/>
        </w:rPr>
        <w:t xml:space="preserve">Дані про </w:t>
      </w:r>
      <w:r w:rsidDel="00000000" w:rsidR="00000000" w:rsidRPr="00000000">
        <w:rPr>
          <w:rtl w:val="0"/>
        </w:rPr>
        <w:t xml:space="preserve">місцерозміщення</w:t>
      </w:r>
      <w:r w:rsidDel="00000000" w:rsidR="00000000" w:rsidRPr="00000000">
        <w:rPr>
          <w:rtl w:val="0"/>
        </w:rPr>
        <w:t xml:space="preserve"> зупинок узагальнюються у графічних матеріалах комплексних схем транспорту міст (</w:t>
      </w:r>
      <w:hyperlink r:id="rId16">
        <w:r w:rsidDel="00000000" w:rsidR="00000000" w:rsidRPr="00000000">
          <w:rPr>
            <w:color w:val="1155cc"/>
            <w:u w:val="single"/>
            <w:rtl w:val="0"/>
          </w:rPr>
          <w:t xml:space="preserve">ДБН Б.1-2-95</w:t>
        </w:r>
      </w:hyperlink>
      <w:r w:rsidDel="00000000" w:rsidR="00000000" w:rsidRPr="00000000">
        <w:rPr>
          <w:rtl w:val="0"/>
        </w:rPr>
        <w:t xml:space="preserve">). Інформація про облаштування зупинок вноситься до паспортів автобусних маршрутів регулярних перевезень відповідно до </w:t>
      </w:r>
      <w:hyperlink r:id="rId17">
        <w:r w:rsidDel="00000000" w:rsidR="00000000" w:rsidRPr="00000000">
          <w:rPr>
            <w:color w:val="1155cc"/>
            <w:u w:val="single"/>
            <w:rtl w:val="0"/>
          </w:rPr>
          <w:t xml:space="preserve">Наказу Мінтрансзв'язку України від 07.05.2010 № 278</w:t>
        </w:r>
      </w:hyperlink>
      <w:r w:rsidDel="00000000" w:rsidR="00000000" w:rsidRPr="00000000">
        <w:rPr>
          <w:rtl w:val="0"/>
        </w:rPr>
        <w:t xml:space="preserve">. Розпорядники здійснюють бухгалтерський облік та інвентаризацію зупинок відповідно до </w:t>
      </w:r>
      <w:hyperlink r:id="rId18">
        <w:r w:rsidDel="00000000" w:rsidR="00000000" w:rsidRPr="00000000">
          <w:rPr>
            <w:color w:val="1155cc"/>
            <w:u w:val="single"/>
            <w:rtl w:val="0"/>
          </w:rPr>
          <w:t xml:space="preserve">Наказу Мінфіну України від 27.04.2000 № 92</w:t>
        </w:r>
      </w:hyperlink>
      <w:r w:rsidDel="00000000" w:rsidR="00000000" w:rsidRPr="00000000">
        <w:rPr>
          <w:rtl w:val="0"/>
        </w:rPr>
        <w:t xml:space="preserve">, </w:t>
      </w:r>
      <w:hyperlink r:id="rId19">
        <w:r w:rsidDel="00000000" w:rsidR="00000000" w:rsidRPr="00000000">
          <w:rPr>
            <w:color w:val="1155cc"/>
            <w:u w:val="single"/>
            <w:rtl w:val="0"/>
          </w:rPr>
          <w:t xml:space="preserve">Наказу Мінфіну України від 02.09.2014 № 879</w:t>
        </w:r>
      </w:hyperlink>
      <w:r w:rsidDel="00000000" w:rsidR="00000000" w:rsidRPr="00000000">
        <w:rPr>
          <w:rtl w:val="0"/>
        </w:rPr>
        <w:t xml:space="preserve">. Інформація про зупинки може вноситись до систем диспетчерського управління (стандарт </w:t>
      </w:r>
      <w:hyperlink r:id="rId20">
        <w:r w:rsidDel="00000000" w:rsidR="00000000" w:rsidRPr="00000000">
          <w:rPr>
            <w:color w:val="1155cc"/>
            <w:u w:val="single"/>
            <w:rtl w:val="0"/>
          </w:rPr>
          <w:t xml:space="preserve">GTFS</w:t>
        </w:r>
      </w:hyperlink>
      <w:r w:rsidDel="00000000" w:rsidR="00000000" w:rsidRPr="00000000">
        <w:rPr>
          <w:rtl w:val="0"/>
        </w:rPr>
        <w:t xml:space="preserve"> або його аналоги).</w:t>
      </w: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unxil3to2wt"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after="200" w:lineRule="auto"/>
        <w:rPr/>
      </w:pPr>
      <w:r w:rsidDel="00000000" w:rsidR="00000000" w:rsidRPr="00000000">
        <w:rPr>
          <w:rtl w:val="0"/>
        </w:rPr>
        <w:t xml:space="preserve">Набір рекомендовано оприлюднювати відповідно до вимог стандарту </w:t>
      </w:r>
      <w:hyperlink r:id="rId21">
        <w:r w:rsidDel="00000000" w:rsidR="00000000" w:rsidRPr="00000000">
          <w:rPr>
            <w:color w:val="1155cc"/>
            <w:u w:val="single"/>
            <w:rtl w:val="0"/>
          </w:rPr>
          <w:t xml:space="preserve">GTFS Static</w:t>
        </w:r>
      </w:hyperlink>
      <w:r w:rsidDel="00000000" w:rsidR="00000000" w:rsidRPr="00000000">
        <w:rPr>
          <w:rtl w:val="0"/>
        </w:rPr>
        <w:t xml:space="preserve"> (таблиця stops) або аналогів. Це </w:t>
      </w:r>
      <w:r w:rsidDel="00000000" w:rsidR="00000000" w:rsidRPr="00000000">
        <w:rPr>
          <w:rtl w:val="0"/>
        </w:rPr>
        <w:t xml:space="preserve">забезпечить</w:t>
      </w:r>
      <w:r w:rsidDel="00000000" w:rsidR="00000000" w:rsidRPr="00000000">
        <w:rPr>
          <w:rtl w:val="0"/>
        </w:rPr>
        <w:t xml:space="preserve"> можливість використання даних у транспортних сервісах </w:t>
      </w:r>
      <w:hyperlink r:id="rId22">
        <w:r w:rsidDel="00000000" w:rsidR="00000000" w:rsidRPr="00000000">
          <w:rPr>
            <w:color w:val="1155cc"/>
            <w:u w:val="single"/>
            <w:rtl w:val="0"/>
          </w:rPr>
          <w:t xml:space="preserve">Google Maps</w:t>
        </w:r>
      </w:hyperlink>
      <w:r w:rsidDel="00000000" w:rsidR="00000000" w:rsidRPr="00000000">
        <w:rPr>
          <w:rtl w:val="0"/>
        </w:rPr>
        <w:t xml:space="preserve">, </w:t>
      </w:r>
      <w:hyperlink r:id="rId23">
        <w:r w:rsidDel="00000000" w:rsidR="00000000" w:rsidRPr="00000000">
          <w:rPr>
            <w:color w:val="1155cc"/>
            <w:u w:val="single"/>
            <w:rtl w:val="0"/>
          </w:rPr>
          <w:t xml:space="preserve">Easy Way</w:t>
        </w:r>
      </w:hyperlink>
      <w:r w:rsidDel="00000000" w:rsidR="00000000" w:rsidRPr="00000000">
        <w:rPr>
          <w:rtl w:val="0"/>
        </w:rPr>
        <w:t xml:space="preserve"> тощо.</w:t>
      </w:r>
    </w:p>
    <w:p w:rsidR="00000000" w:rsidDel="00000000" w:rsidP="00000000" w:rsidRDefault="00000000" w:rsidRPr="00000000" w14:paraId="00000015">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stops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Одна зупинка громадського транспорту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hyperlink r:id="rId24">
              <w:r w:rsidDel="00000000" w:rsidR="00000000" w:rsidRPr="00000000">
                <w:rPr>
                  <w:color w:val="1155cc"/>
                  <w:u w:val="single"/>
                  <w:rtl w:val="0"/>
                </w:rPr>
                <w:t xml:space="preserve">stops.xlsx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pPr>
            <w:hyperlink r:id="rId25">
              <w:r w:rsidDel="00000000" w:rsidR="00000000" w:rsidRPr="00000000">
                <w:rPr>
                  <w:color w:val="1155cc"/>
                  <w:u w:val="single"/>
                  <w:rtl w:val="0"/>
                </w:rPr>
                <w:t xml:space="preserve">Example</w:t>
              </w:r>
            </w:hyperlink>
            <w:hyperlink r:id="rId2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hyperlink r:id="rId27">
              <w:r w:rsidDel="00000000" w:rsidR="00000000" w:rsidRPr="00000000">
                <w:rPr>
                  <w:color w:val="1155cc"/>
                  <w:u w:val="single"/>
                  <w:rtl w:val="0"/>
                </w:rPr>
                <w:t xml:space="preserve">Structure.xlsx</w:t>
              </w:r>
            </w:hyperlink>
            <w:r w:rsidDel="00000000" w:rsidR="00000000" w:rsidRPr="00000000">
              <w:rPr>
                <w:rtl w:val="0"/>
              </w:rPr>
              <w:t xml:space="preserve">, </w:t>
            </w:r>
            <w:hyperlink r:id="rId28">
              <w:r w:rsidDel="00000000" w:rsidR="00000000" w:rsidRPr="00000000">
                <w:rPr>
                  <w:color w:val="1155cc"/>
                  <w:u w:val="single"/>
                  <w:rtl w:val="0"/>
                </w:rPr>
                <w:t xml:space="preserve">Structure.csv</w:t>
              </w:r>
            </w:hyperlink>
            <w:r w:rsidDel="00000000" w:rsidR="00000000" w:rsidRPr="00000000">
              <w:rPr>
                <w:rtl w:val="0"/>
              </w:rPr>
              <w:t xml:space="preserve">, </w:t>
            </w:r>
            <w:hyperlink r:id="rId2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6">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30">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8">
      <w:pPr>
        <w:spacing w:after="200" w:line="276" w:lineRule="auto"/>
        <w:jc w:val="center"/>
        <w:rPr>
          <w:b w:val="1"/>
        </w:rPr>
      </w:pPr>
      <w:r w:rsidDel="00000000" w:rsidR="00000000" w:rsidRPr="00000000">
        <w:rPr>
          <w:rtl w:val="0"/>
        </w:rPr>
      </w:r>
    </w:p>
    <w:p w:rsidR="00000000" w:rsidDel="00000000" w:rsidP="00000000" w:rsidRDefault="00000000" w:rsidRPr="00000000" w14:paraId="00000029">
      <w:pPr>
        <w:spacing w:after="200" w:line="276" w:lineRule="auto"/>
        <w:jc w:val="center"/>
        <w:rPr>
          <w:b w:val="1"/>
        </w:rPr>
      </w:pPr>
      <w:r w:rsidDel="00000000" w:rsidR="00000000" w:rsidRPr="00000000">
        <w:rPr>
          <w:b w:val="1"/>
          <w:rtl w:val="0"/>
        </w:rPr>
        <w:t xml:space="preserve">Таблиця 1 — Структура таблиці (ресурсу) stops</w:t>
      </w:r>
    </w:p>
    <w:tbl>
      <w:tblPr>
        <w:tblStyle w:val="Table4"/>
        <w:tblW w:w="9090.0" w:type="dxa"/>
        <w:jc w:val="left"/>
        <w:tblInd w:w="84.7795275590551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380"/>
        <w:gridCol w:w="3810"/>
        <w:gridCol w:w="1425"/>
        <w:gridCol w:w="1290"/>
        <w:tblGridChange w:id="0">
          <w:tblGrid>
            <w:gridCol w:w="1185"/>
            <w:gridCol w:w="1380"/>
            <w:gridCol w:w="3810"/>
            <w:gridCol w:w="1425"/>
            <w:gridCol w:w="12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b w:val="1"/>
              </w:rPr>
            </w:pPr>
            <w:r w:rsidDel="00000000" w:rsidR="00000000" w:rsidRPr="00000000">
              <w:rPr>
                <w:b w:val="1"/>
                <w:rtl w:val="0"/>
              </w:rPr>
              <w:t xml:space="preserve">Вимога заповнення (required)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rtl w:val="0"/>
              </w:rPr>
              <w:t xml:space="preserve">stop_id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Унікальний ідентифікатор зупинки (станції) громадського транспорту. Унікальним ідентифікатором може бути будь-яка комбінація літер та чисел, інвентарний номер зупинки тощо. Наприклад: z-001.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stop_code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Код</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Якщо у схемах та графіках руху громадського транспорту використовується кодування зупинок, вказати код зупинки (станції). Наприклад: 001. Якщо кодування станцій відсутнє, залишити колонку вільною.</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stop_name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Назва зупинки (станції), яка використовується у схемах та графіках руху громадського транспорту. Наприклад: Дніпровська набережна.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stop_desc</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Опис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Кількісна та якісна інформація, що описує характеристики зупинки. Наприклад: Зупинка приймає транспорт на автобусних та тролейбусних маршрутах. До складу павільйону входить кіоск із продажу продовольчих товарів (балансоутримувач — Управління орендних відносин Одеської міської ради). Загальна площа 30 кв. м.</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stop_lat</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Географічна широта</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Географічна широта зупинки (станції). Розділювачем десяткових значень є крапка. Наприклад: 50.123456.</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Десятковий дріб</w:t>
            </w:r>
          </w:p>
          <w:p w:rsidR="00000000" w:rsidDel="00000000" w:rsidP="00000000" w:rsidRDefault="00000000" w:rsidRPr="00000000" w14:paraId="00000047">
            <w:pPr>
              <w:widowControl w:val="0"/>
              <w:spacing w:line="276" w:lineRule="auto"/>
              <w:rPr/>
            </w:pPr>
            <w:r w:rsidDel="00000000" w:rsidR="00000000" w:rsidRPr="00000000">
              <w:rPr>
                <w:rtl w:val="0"/>
              </w:rPr>
              <w:t xml:space="preserve">(decimal)</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stop_lon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Географічна довгота зупинки (станції). Розділювачем десяткових значень є крапка. Наприклад: 30.123456.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Десятковий дріб</w:t>
            </w:r>
          </w:p>
          <w:p w:rsidR="00000000" w:rsidDel="00000000" w:rsidP="00000000" w:rsidRDefault="00000000" w:rsidRPr="00000000" w14:paraId="0000004D">
            <w:pPr>
              <w:widowControl w:val="0"/>
              <w:rPr/>
            </w:pPr>
            <w:r w:rsidDel="00000000" w:rsidR="00000000" w:rsidRPr="00000000">
              <w:rPr>
                <w:rtl w:val="0"/>
              </w:rPr>
              <w:t xml:space="preserve">(decimal)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rPr/>
            </w:pPr>
            <w:r w:rsidDel="00000000" w:rsidR="00000000" w:rsidRPr="00000000">
              <w:rPr>
                <w:rtl w:val="0"/>
              </w:rPr>
              <w:t xml:space="preserve">address_post_code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rPr/>
            </w:pPr>
            <w:r w:rsidDel="00000000" w:rsidR="00000000" w:rsidRPr="00000000">
              <w:rPr>
                <w:rtl w:val="0"/>
              </w:rPr>
              <w:t xml:space="preserve">Поштовий індекс</w:t>
              <w:tab/>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commentRangeStart w:id="0"/>
            <w:r w:rsidDel="00000000" w:rsidR="00000000" w:rsidRPr="00000000">
              <w:rPr>
                <w:rtl w:val="0"/>
              </w:rPr>
              <w:t xml:space="preserve">Якщо географічні координати зупинки відсутні, у цій та наступних колонках зазначається адреса, за якою розміщена зупинка. Поштовий індекс адреси. Наприклад: 01234.</w:t>
            </w:r>
            <w:commentRangeEnd w:id="0"/>
            <w:r w:rsidDel="00000000" w:rsidR="00000000" w:rsidRPr="00000000">
              <w:commentReference w:id="0"/>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address_admin_unit_l1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rPr/>
            </w:pPr>
            <w:r w:rsidDel="00000000" w:rsidR="00000000" w:rsidRPr="00000000">
              <w:rPr>
                <w:rtl w:val="0"/>
              </w:rPr>
              <w:t xml:space="preserve">Назва держави.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address_admin_unit_l1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Назва регіону. Наприклад: Полтавська область.</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address_admin_unit_l1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Район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rPr/>
            </w:pPr>
            <w:r w:rsidDel="00000000" w:rsidR="00000000" w:rsidRPr="00000000">
              <w:rPr>
                <w:rtl w:val="0"/>
              </w:rPr>
              <w:t xml:space="preserve">Хибність (false)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address_post_name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Населений пункт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address_thoroughfare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Вулиця або аналог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rPr/>
            </w:pPr>
            <w:r w:rsidDel="00000000" w:rsidR="00000000" w:rsidRPr="00000000">
              <w:rPr>
                <w:rtl w:val="0"/>
              </w:rPr>
              <w:t xml:space="preserve">address_locator_designator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Номер об’єкта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Номер може включати числа та букви. Наприклад: 15-А.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rPr/>
            </w:pPr>
            <w:r w:rsidDel="00000000" w:rsidR="00000000" w:rsidRPr="00000000">
              <w:rPr>
                <w:rtl w:val="0"/>
              </w:rPr>
              <w:t xml:space="preserve">address_description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rPr/>
            </w:pPr>
            <w:r w:rsidDel="00000000" w:rsidR="00000000" w:rsidRPr="00000000">
              <w:rPr>
                <w:rtl w:val="0"/>
              </w:rPr>
              <w:t xml:space="preserve">Опис вказується за потреби чіткіше визначити розміщення. Наприклад: кільце для розвороту транспорту.</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zone_id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Тарифна зона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Якщо у місті наявні тарифні зони, необхідно вказати назву тарифної зони. Якщо тарифні зони відсутні, вказати 0. Наприклад: 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stop_url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Веб-сторінка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commentRangeStart w:id="1"/>
            <w:r w:rsidDel="00000000" w:rsidR="00000000" w:rsidRPr="00000000">
              <w:rPr>
                <w:highlight w:val="white"/>
                <w:rtl w:val="0"/>
              </w:rPr>
              <w:t xml:space="preserve">Посилання на веб-сторінку з інформацією про зупинку. Посилання має починатися з http:// або https://. Наприклад: http://example.com/stop/</w:t>
            </w:r>
            <w:commentRangeEnd w:id="1"/>
            <w:r w:rsidDel="00000000" w:rsidR="00000000" w:rsidRPr="00000000">
              <w:commentReference w:id="1"/>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location_type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Тип зупинки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Тип зупинки кодується однією з цифр: 0 — зупинка; 1 — станція; 2 — вхід чи вихід на станції (за умови, якщо використовується колонка parent_station). Наприклад: 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parent_station</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Приналежність до станції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Якщо зупинка (вхід чи вихід) розміщені на станції, необхідно вказати ідентифікатор станції з колонки stop_id. У такому випадку в таблиці окремо вказуються станція та зупинка на станції. В іншому разі необхідно залишити колонку порожньою. Наприклад: z-021.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stop_timezone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Часовий пояс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Часовий пояс, в якому розміщена зупинка. У колонці необхідно зазначити Europe/Kyiv.</w:t>
            </w:r>
            <w:commentRangeStart w:id="2"/>
            <w:commentRangeStart w:id="3"/>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wheelchair_boarding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Доступність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Обладнання зупинки для маломобільних груп населення кодується цифрами: 0 — невідомо; 1 — хоча б один транспортний засіб обладнаний спеціальними засобами; 2 — інфраструктура відсутня. Для станцій використовуються таке кодування: 0 — умови зупинки відповідають умовам станції; 1 — інфраструктура наявна; 2 — інфраструктура відсутня.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rPr/>
            </w:pPr>
            <w:r w:rsidDel="00000000" w:rsidR="00000000" w:rsidRPr="00000000">
              <w:rPr>
                <w:rtl w:val="0"/>
              </w:rPr>
              <w:t xml:space="preserve">Хибність (false)</w:t>
            </w:r>
          </w:p>
        </w:tc>
      </w:tr>
    </w:tbl>
    <w:p w:rsidR="00000000" w:rsidDel="00000000" w:rsidP="00000000" w:rsidRDefault="00000000" w:rsidRPr="00000000" w14:paraId="00000095">
      <w:pPr>
        <w:spacing w:after="200" w:line="276" w:lineRule="auto"/>
        <w:jc w:val="center"/>
        <w:rPr>
          <w:b w:val="1"/>
        </w:rPr>
      </w:pPr>
      <w:r w:rsidDel="00000000" w:rsidR="00000000" w:rsidRPr="00000000">
        <w:rPr>
          <w:rtl w:val="0"/>
        </w:rPr>
      </w:r>
    </w:p>
    <w:p w:rsidR="00000000" w:rsidDel="00000000" w:rsidP="00000000" w:rsidRDefault="00000000" w:rsidRPr="00000000" w14:paraId="00000096">
      <w:pPr>
        <w:pStyle w:val="Heading1"/>
        <w:spacing w:line="276" w:lineRule="auto"/>
        <w:rPr/>
      </w:pPr>
      <w:bookmarkStart w:colFirst="0" w:colLast="0" w:name="_ayzcnxf60j46" w:id="4"/>
      <w:bookmarkEnd w:id="4"/>
      <w:r w:rsidDel="00000000" w:rsidR="00000000" w:rsidRPr="00000000">
        <w:rPr>
          <w:rtl w:val="0"/>
        </w:rPr>
        <w:t xml:space="preserve">4. </w:t>
      </w:r>
      <w:r w:rsidDel="00000000" w:rsidR="00000000" w:rsidRPr="00000000">
        <w:rPr>
          <w:rtl w:val="0"/>
        </w:rPr>
        <w:t xml:space="preserve">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8">
      <w:pPr>
        <w:spacing w:after="200" w:line="276" w:lineRule="auto"/>
        <w:jc w:val="center"/>
        <w:rPr/>
      </w:pPr>
      <w:r w:rsidDel="00000000" w:rsidR="00000000" w:rsidRPr="00000000">
        <w:rPr>
          <w:rtl w:val="0"/>
        </w:rPr>
      </w:r>
    </w:p>
    <w:p w:rsidR="00000000" w:rsidDel="00000000" w:rsidP="00000000" w:rsidRDefault="00000000" w:rsidRPr="00000000" w14:paraId="00000099">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100" w:hRule="atLeast"/>
        </w:trPr>
        <w:tc>
          <w:tcPr/>
          <w:p w:rsidR="00000000" w:rsidDel="00000000" w:rsidP="00000000" w:rsidRDefault="00000000" w:rsidRPr="00000000" w14:paraId="0000009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C">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9D">
            <w:pPr>
              <w:widowControl w:val="0"/>
              <w:spacing w:line="276" w:lineRule="auto"/>
              <w:rPr/>
            </w:pPr>
            <w:r w:rsidDel="00000000" w:rsidR="00000000" w:rsidRPr="00000000">
              <w:rPr>
                <w:rtl w:val="0"/>
              </w:rPr>
              <w:t xml:space="preserve">Дані про місце розміщення зупинок міського електро- та автомобільного транспорту міста Славутича</w:t>
            </w:r>
          </w:p>
        </w:tc>
      </w:tr>
      <w:tr>
        <w:trPr>
          <w:trHeight w:val="20" w:hRule="atLeast"/>
        </w:trPr>
        <w:tc>
          <w:tcPr/>
          <w:p w:rsidR="00000000" w:rsidDel="00000000" w:rsidP="00000000" w:rsidRDefault="00000000" w:rsidRPr="00000000" w14:paraId="0000009E">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9F">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0">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1">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rPr>
          <w:trHeight w:val="400" w:hRule="atLeast"/>
        </w:trPr>
        <w:tc>
          <w:tcPr/>
          <w:p w:rsidR="00000000" w:rsidDel="00000000" w:rsidP="00000000" w:rsidRDefault="00000000" w:rsidRPr="00000000" w14:paraId="000000A2">
            <w:pPr>
              <w:spacing w:line="276" w:lineRule="auto"/>
              <w:rPr/>
            </w:pPr>
            <w:r w:rsidDel="00000000" w:rsidR="00000000" w:rsidRPr="00000000">
              <w:rPr>
                <w:shd w:fill="fcfcfc" w:val="clear"/>
                <w:rtl w:val="0"/>
              </w:rPr>
              <w:t xml:space="preserve">Опис</w:t>
            </w:r>
            <w:r w:rsidDel="00000000" w:rsidR="00000000" w:rsidRPr="00000000">
              <w:rPr>
                <w:rtl w:val="0"/>
              </w:rPr>
            </w:r>
          </w:p>
        </w:tc>
        <w:tc>
          <w:tcPr/>
          <w:p w:rsidR="00000000" w:rsidDel="00000000" w:rsidP="00000000" w:rsidRDefault="00000000" w:rsidRPr="00000000" w14:paraId="000000A3">
            <w:pPr>
              <w:widowControl w:val="0"/>
              <w:spacing w:line="276" w:lineRule="auto"/>
              <w:rPr/>
            </w:pPr>
            <w:r w:rsidDel="00000000" w:rsidR="00000000" w:rsidRPr="00000000">
              <w:rPr>
                <w:rtl w:val="0"/>
              </w:rPr>
              <w:t xml:space="preserve">Набір містить ідентифікаційні дані зупинок електро- та автомобільного громадського транспорту, а також інформацію про їх розміщення (географічні координати, адреса), доступність та інші характеристики.</w:t>
            </w:r>
          </w:p>
        </w:tc>
      </w:tr>
      <w:tr>
        <w:trPr>
          <w:trHeight w:val="180" w:hRule="atLeast"/>
        </w:trPr>
        <w:tc>
          <w:tcPr/>
          <w:p w:rsidR="00000000" w:rsidDel="00000000" w:rsidP="00000000" w:rsidRDefault="00000000" w:rsidRPr="00000000" w14:paraId="000000A4">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5">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Наказ Мінтрансзв'язку України від 07.05.2010 № 278, Наказ Мінфіну України «Про затвердження Положення (стандарту) бухгалтерського обліку 7 „Основні засоби“» від 27.04.2000 № 92</w:t>
            </w:r>
            <w:r w:rsidDel="00000000" w:rsidR="00000000" w:rsidRPr="00000000">
              <w:rPr>
                <w:rtl w:val="0"/>
              </w:rPr>
            </w:r>
          </w:p>
        </w:tc>
      </w:tr>
      <w:tr>
        <w:trPr>
          <w:trHeight w:val="120" w:hRule="atLeast"/>
        </w:trPr>
        <w:tc>
          <w:tcPr/>
          <w:p w:rsidR="00000000" w:rsidDel="00000000" w:rsidP="00000000" w:rsidRDefault="00000000" w:rsidRPr="00000000" w14:paraId="000000A6">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A7">
            <w:pPr>
              <w:widowControl w:val="0"/>
              <w:spacing w:line="276" w:lineRule="auto"/>
              <w:rPr/>
            </w:pPr>
            <w:r w:rsidDel="00000000" w:rsidR="00000000" w:rsidRPr="00000000">
              <w:rPr>
                <w:rtl w:val="0"/>
              </w:rPr>
              <w:t xml:space="preserve">транспорт, перевізники, автобус, тролейбус, трамвай, зупинка, станція, маршрут, GTFS, громадський транспорт</w:t>
            </w:r>
          </w:p>
        </w:tc>
      </w:tr>
      <w:tr>
        <w:trPr>
          <w:trHeight w:val="460" w:hRule="atLeast"/>
        </w:trPr>
        <w:tc>
          <w:tcPr/>
          <w:p w:rsidR="00000000" w:rsidDel="00000000" w:rsidP="00000000" w:rsidRDefault="00000000" w:rsidRPr="00000000" w14:paraId="000000A8">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AC">
      <w:pPr>
        <w:spacing w:line="276" w:lineRule="auto"/>
        <w:rPr>
          <w:b w:val="1"/>
        </w:rPr>
      </w:pPr>
      <w:r w:rsidDel="00000000" w:rsidR="00000000" w:rsidRPr="00000000">
        <w:rPr>
          <w:rtl w:val="0"/>
        </w:rPr>
      </w:r>
    </w:p>
    <w:p w:rsidR="00000000" w:rsidDel="00000000" w:rsidP="00000000" w:rsidRDefault="00000000" w:rsidRPr="00000000" w14:paraId="000000AD">
      <w:pPr>
        <w:spacing w:line="276" w:lineRule="auto"/>
        <w:jc w:val="center"/>
        <w:rPr>
          <w:b w:val="1"/>
        </w:rPr>
      </w:pPr>
      <w:r w:rsidDel="00000000" w:rsidR="00000000" w:rsidRPr="00000000">
        <w:rPr>
          <w:b w:val="1"/>
          <w:rtl w:val="0"/>
        </w:rPr>
        <w:t xml:space="preserve">Таблиця 3 — Приклад паспорта ресурсу stops</w:t>
      </w:r>
    </w:p>
    <w:p w:rsidR="00000000" w:rsidDel="00000000" w:rsidP="00000000" w:rsidRDefault="00000000" w:rsidRPr="00000000" w14:paraId="000000AE">
      <w:pPr>
        <w:spacing w:line="276" w:lineRule="auto"/>
        <w:jc w:val="center"/>
        <w:rPr>
          <w:b w:val="1"/>
        </w:rPr>
      </w:pP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0AF">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0">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1">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2">
            <w:pPr>
              <w:widowControl w:val="0"/>
              <w:spacing w:line="276" w:lineRule="auto"/>
              <w:rPr/>
            </w:pPr>
            <w:r w:rsidDel="00000000" w:rsidR="00000000" w:rsidRPr="00000000">
              <w:rPr>
                <w:rtl w:val="0"/>
              </w:rPr>
              <w:t xml:space="preserve">stops.xlsx</w:t>
            </w:r>
          </w:p>
        </w:tc>
      </w:tr>
      <w:tr>
        <w:tc>
          <w:tcPr/>
          <w:p w:rsidR="00000000" w:rsidDel="00000000" w:rsidP="00000000" w:rsidRDefault="00000000" w:rsidRPr="00000000" w14:paraId="000000B3">
            <w:pPr>
              <w:spacing w:line="276" w:lineRule="auto"/>
              <w:rPr/>
            </w:pPr>
            <w:r w:rsidDel="00000000" w:rsidR="00000000" w:rsidRPr="00000000">
              <w:rPr>
                <w:rtl w:val="0"/>
              </w:rPr>
              <w:t xml:space="preserve">Опис</w:t>
            </w:r>
          </w:p>
        </w:tc>
        <w:tc>
          <w:tcPr/>
          <w:p w:rsidR="00000000" w:rsidDel="00000000" w:rsidP="00000000" w:rsidRDefault="00000000" w:rsidRPr="00000000" w14:paraId="000000B4">
            <w:pPr>
              <w:widowControl w:val="0"/>
              <w:spacing w:line="276" w:lineRule="auto"/>
              <w:rPr/>
            </w:pPr>
            <w:r w:rsidDel="00000000" w:rsidR="00000000" w:rsidRPr="00000000">
              <w:rPr>
                <w:rtl w:val="0"/>
              </w:rPr>
              <w:t xml:space="preserve">Таблиця містить дані про ідентифікатори, коди, назви, опис, місцезнаходження (адреса, географічні координати), доступність та інші характеристики зупинок громадського транспорту. Кожним записом до таблиці є одна зупинка.</w:t>
            </w:r>
          </w:p>
        </w:tc>
      </w:tr>
      <w:tr>
        <w:trPr>
          <w:trHeight w:val="160" w:hRule="atLeast"/>
        </w:trPr>
        <w:tc>
          <w:tcPr/>
          <w:p w:rsidR="00000000" w:rsidDel="00000000" w:rsidP="00000000" w:rsidRDefault="00000000" w:rsidRPr="00000000" w14:paraId="000000B5">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6">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B7">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Максим Медведчук" w:id="2" w:date="2019-12-26T12:50:46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 якою метою визначена потреба у часовому часі ? Так як ми не вказуємо години роботи</w:t>
      </w:r>
    </w:p>
  </w:comment>
  <w:comment w:author="Bohdan Tyshkevych" w:id="3" w:date="2019-12-26T13:38:1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Така вимога стандарту GTFS. https://developers.google.com/transit/gtfs/reference#stopstxt. Але поле є опціональним його можна лишити незаповненим.</w:t>
      </w:r>
    </w:p>
  </w:comment>
  <w:comment w:author="Максим Медведчук" w:id="0" w:date="2019-12-27T07:33:30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Зупинка це об'єкт, якому не присвоюється адреса!</w:t>
      </w:r>
    </w:p>
  </w:comment>
  <w:comment w:author="Максим Медведчук" w:id="1" w:date="2019-12-27T07:33:48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Абсурд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transit/gtfs/" TargetMode="External"/><Relationship Id="rId22" Type="http://schemas.openxmlformats.org/officeDocument/2006/relationships/hyperlink" Target="https://www.google.com.ua/maps/" TargetMode="External"/><Relationship Id="rId21" Type="http://schemas.openxmlformats.org/officeDocument/2006/relationships/hyperlink" Target="https://developers.google.com/transit/gtfs/" TargetMode="External"/><Relationship Id="rId24" Type="http://schemas.openxmlformats.org/officeDocument/2006/relationships/hyperlink" Target="https://github.com/tapas-opendata/decreet-835-mun/raw/master/transport/stops/stops.xlsx" TargetMode="External"/><Relationship Id="rId23" Type="http://schemas.openxmlformats.org/officeDocument/2006/relationships/hyperlink" Target="https://www.eway.in.ua/ua/cities/kyi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inregion.gov.ua/wp-content/uploads/2017/12/14.1.-DBN-360-92.-Mistobuduvannya.-Planuvannya-i-za.pdf" TargetMode="External"/><Relationship Id="rId26" Type="http://schemas.openxmlformats.org/officeDocument/2006/relationships/hyperlink" Target="https://github.com/tapas-opendata/decreet-835-mun/raw/master/transport/stops/Example.xlsx" TargetMode="External"/><Relationship Id="rId25" Type="http://schemas.openxmlformats.org/officeDocument/2006/relationships/hyperlink" Target="https://github.com/tapas-opendata/decreet-835-mun/raw/master/transport/stops/Example.xlsx" TargetMode="External"/><Relationship Id="rId28" Type="http://schemas.openxmlformats.org/officeDocument/2006/relationships/hyperlink" Target="https://raw.githubusercontent.com/tapas-opendata/decreet-835-mun/master/transport/stops/Structure.csv" TargetMode="External"/><Relationship Id="rId27" Type="http://schemas.openxmlformats.org/officeDocument/2006/relationships/hyperlink" Target="https://github.com/tapas-opendata/decreet-835-mun/raw/master/transport/stops/Structure.xlsx"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aw.githubusercontent.com/tapas-opendata/decreet-835-mun/master/transport/stops/Structure.json"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z0408-10" TargetMode="External"/><Relationship Id="rId30" Type="http://schemas.openxmlformats.org/officeDocument/2006/relationships/hyperlink" Target="https://docs.ckan.org/en/latest/maintaining/datastore.html" TargetMode="External"/><Relationship Id="rId11" Type="http://schemas.openxmlformats.org/officeDocument/2006/relationships/hyperlink" Target="http://www.minregion.gov.ua/wp-content/uploads/2017/05/DBN-B.1-2-95.pdf" TargetMode="External"/><Relationship Id="rId10" Type="http://schemas.openxmlformats.org/officeDocument/2006/relationships/hyperlink" Target="http://www.minregion.gov.ua/wp-content/uploads/2018/10/hbn_v_2_3-37641918-550_2018.pdf" TargetMode="External"/><Relationship Id="rId13" Type="http://schemas.openxmlformats.org/officeDocument/2006/relationships/hyperlink" Target="https://zakon.rada.gov.ua/laws/show/280/97-%D0%B2%D1%80" TargetMode="External"/><Relationship Id="rId12" Type="http://schemas.openxmlformats.org/officeDocument/2006/relationships/hyperlink" Target="https://zakon.rada.gov.ua/laws/show/z0288-00" TargetMode="External"/><Relationship Id="rId15" Type="http://schemas.openxmlformats.org/officeDocument/2006/relationships/hyperlink" Target="http://www.minregion.gov.ua/wp-content/uploads/2018/10/hbn_v_2_3-37641918-550_2018.pdf" TargetMode="External"/><Relationship Id="rId14" Type="http://schemas.openxmlformats.org/officeDocument/2006/relationships/hyperlink" Target="http://www.minregion.gov.ua/wp-content/uploads/2017/12/14.1.-DBN-360-92.-Mistobuduvannya.-Planuvannya-i-za.pdf" TargetMode="External"/><Relationship Id="rId17" Type="http://schemas.openxmlformats.org/officeDocument/2006/relationships/hyperlink" Target="https://zakon.rada.gov.ua/laws/show/z0408-10" TargetMode="External"/><Relationship Id="rId16" Type="http://schemas.openxmlformats.org/officeDocument/2006/relationships/hyperlink" Target="http://www.minregion.gov.ua/wp-content/uploads/2017/05/DBN-B.1-2-95.pdf" TargetMode="External"/><Relationship Id="rId19" Type="http://schemas.openxmlformats.org/officeDocument/2006/relationships/hyperlink" Target="https://zakon.rada.gov.ua/laws/show/z1365-14" TargetMode="External"/><Relationship Id="rId18" Type="http://schemas.openxmlformats.org/officeDocument/2006/relationships/hyperlink" Target="https://zakon.rada.gov.ua/laws/show/z028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