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u1qtro8ui6m8" w:id="0"/>
      <w:bookmarkEnd w:id="0"/>
      <w:r w:rsidDel="00000000" w:rsidR="00000000" w:rsidRPr="00000000">
        <w:rPr>
          <w:rtl w:val="0"/>
        </w:rPr>
        <w:t xml:space="preserve">Відомості про транспортні засоби, які обслуговують пасажирські автобусні, тролейбусні та трамвайні маршрути перевезення</w:t>
      </w:r>
    </w:p>
    <w:p w:rsidR="00000000" w:rsidDel="00000000" w:rsidP="00000000" w:rsidRDefault="00000000" w:rsidRPr="00000000" w14:paraId="00000002">
      <w:pPr>
        <w:pStyle w:val="Heading1"/>
        <w:spacing w:line="276" w:lineRule="auto"/>
        <w:rPr/>
      </w:pPr>
      <w:bookmarkStart w:colFirst="0" w:colLast="0" w:name="_sbh2n629xkic" w:id="1"/>
      <w:bookmarkEnd w:id="1"/>
      <w:r w:rsidDel="00000000" w:rsidR="00000000" w:rsidRPr="00000000">
        <w:rPr>
          <w:rtl w:val="0"/>
        </w:rPr>
        <w:t xml:space="preserve">1. Коротка довідка</w:t>
      </w:r>
      <w:commentRangeStart w:id="0"/>
      <w:commentRangeStart w:id="1"/>
      <w:r w:rsidDel="00000000" w:rsidR="00000000" w:rsidRPr="00000000">
        <w:rPr>
          <w:rtl w:val="0"/>
        </w:rPr>
      </w:r>
    </w:p>
    <w:p w:rsidR="00000000" w:rsidDel="00000000" w:rsidP="00000000" w:rsidRDefault="00000000" w:rsidRPr="00000000" w14:paraId="00000003">
      <w:pPr>
        <w:spacing w:line="276" w:lineRule="auto"/>
        <w:rPr>
          <w:b w:val="1"/>
        </w:rPr>
      </w:pP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Критерій</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b w:val="1"/>
              </w:rPr>
            </w:pPr>
            <w:commentRangeEnd w:id="0"/>
            <w:r w:rsidDel="00000000" w:rsidR="00000000" w:rsidRPr="00000000">
              <w:commentReference w:id="0"/>
            </w:r>
            <w:commentRangeEnd w:id="1"/>
            <w:r w:rsidDel="00000000" w:rsidR="00000000" w:rsidRPr="00000000">
              <w:commentReference w:id="1"/>
            </w: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pPr>
            <w:hyperlink r:id="rId7">
              <w:r w:rsidDel="00000000" w:rsidR="00000000" w:rsidRPr="00000000">
                <w:rPr>
                  <w:color w:val="1155cc"/>
                  <w:u w:val="single"/>
                  <w:rtl w:val="0"/>
                </w:rPr>
                <w:t xml:space="preserve">Закон України «Про місцеве самоврядування в Україні» від 21.05.1997 № 280/97-ВР</w:t>
              </w:r>
            </w:hyperlink>
            <w:r w:rsidDel="00000000" w:rsidR="00000000" w:rsidRPr="00000000">
              <w:rPr>
                <w:rtl w:val="0"/>
              </w:rPr>
              <w:t xml:space="preserve">, </w:t>
            </w:r>
            <w:hyperlink r:id="rId8">
              <w:r w:rsidDel="00000000" w:rsidR="00000000" w:rsidRPr="00000000">
                <w:rPr>
                  <w:color w:val="1155cc"/>
                  <w:u w:val="single"/>
                  <w:rtl w:val="0"/>
                </w:rPr>
                <w:t xml:space="preserve">Закон України «Про автомобільний транспорт» від 05.04.2001 № 2344-III</w:t>
              </w:r>
            </w:hyperlink>
            <w:r w:rsidDel="00000000" w:rsidR="00000000" w:rsidRPr="00000000">
              <w:rPr>
                <w:rtl w:val="0"/>
              </w:rPr>
              <w:t xml:space="preserve">, </w:t>
            </w:r>
            <w:hyperlink r:id="rId9">
              <w:r w:rsidDel="00000000" w:rsidR="00000000" w:rsidRPr="00000000">
                <w:rPr>
                  <w:color w:val="1155cc"/>
                  <w:u w:val="single"/>
                  <w:rtl w:val="0"/>
                </w:rPr>
                <w:t xml:space="preserve">Постанова КМУ «Про затвердження Порядку проведення конкурсу з перевезення пасажирів на автобусному маршруті загального користування» від 03.12.2008 № 1081</w:t>
              </w:r>
            </w:hyperlink>
            <w:r w:rsidDel="00000000" w:rsidR="00000000" w:rsidRPr="00000000">
              <w:rPr>
                <w:rtl w:val="0"/>
              </w:rPr>
              <w:t xml:space="preserve">, </w:t>
            </w:r>
            <w:hyperlink r:id="rId10">
              <w:r w:rsidDel="00000000" w:rsidR="00000000" w:rsidRPr="00000000">
                <w:rPr>
                  <w:color w:val="1155cc"/>
                  <w:u w:val="single"/>
                  <w:rtl w:val="0"/>
                </w:rPr>
                <w:t xml:space="preserve">Постанова КМУ «Про затвердження Правил надання послуг пасажирського автомобільного транспорту» від 18.02.1997 № 176</w:t>
              </w:r>
            </w:hyperlink>
            <w:r w:rsidDel="00000000" w:rsidR="00000000" w:rsidRPr="00000000">
              <w:rPr>
                <w:rtl w:val="0"/>
              </w:rPr>
              <w:t xml:space="preserve">, нормативно-правові акти органів місцевого самоврядування</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pPr>
            <w:r w:rsidDel="00000000" w:rsidR="00000000" w:rsidRPr="00000000">
              <w:rPr>
                <w:rtl w:val="0"/>
              </w:rPr>
              <w:t xml:space="preserve">Інформація, що створюється, збирається, зберігається й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pPr>
            <w:r w:rsidDel="00000000" w:rsidR="00000000" w:rsidRPr="00000000">
              <w:rPr>
                <w:rtl w:val="0"/>
              </w:rPr>
              <w:t xml:space="preserve">Органи місцевого самоврядування отримують відомості про транспортні засоби під час проведення конкурсів з перевезення пасажирів на маршрутах (Постанова КМУ від 03.12.2008 № 1081). Дана інформація також фіксується під час інвентаризації активів підприємств та отримання ліцензій на перевезення пасажирів.</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rtl w:val="0"/>
              </w:rPr>
              <w:t xml:space="preserve">Проведення конкурсів із перевезення пасажирів на автобусному маршруті, актуалізація даних, інвентаризація активів комунальних підприємств</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pPr>
            <w:r w:rsidDel="00000000" w:rsidR="00000000" w:rsidRPr="00000000">
              <w:rPr>
                <w:rtl w:val="0"/>
              </w:rPr>
              <w:t xml:space="preserve">XLSX, ODS, CSV, можливі інші формати структурованих даних</w:t>
            </w:r>
          </w:p>
        </w:tc>
      </w:tr>
    </w:tbl>
    <w:p w:rsidR="00000000" w:rsidDel="00000000" w:rsidP="00000000" w:rsidRDefault="00000000" w:rsidRPr="00000000" w14:paraId="00000011">
      <w:pPr>
        <w:pStyle w:val="Heading1"/>
        <w:spacing w:line="276" w:lineRule="auto"/>
        <w:rPr/>
      </w:pPr>
      <w:bookmarkStart w:colFirst="0" w:colLast="0" w:name="_u3689hvdevb0"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after="200" w:line="276" w:lineRule="auto"/>
        <w:rPr/>
      </w:pPr>
      <w:r w:rsidDel="00000000" w:rsidR="00000000" w:rsidRPr="00000000">
        <w:rPr>
          <w:rtl w:val="0"/>
        </w:rPr>
        <w:t xml:space="preserve">Повноваження органів місцевого самоврядування у сфері організації руху міського пасажирського транспорту визначені статтею 30 </w:t>
      </w:r>
      <w:hyperlink r:id="rId11">
        <w:r w:rsidDel="00000000" w:rsidR="00000000" w:rsidRPr="00000000">
          <w:rPr>
            <w:color w:val="1155cc"/>
            <w:u w:val="single"/>
            <w:rtl w:val="0"/>
          </w:rPr>
          <w:t xml:space="preserve">Закону України «Про місцеве самоврядування в Україні»</w:t>
        </w:r>
      </w:hyperlink>
      <w:r w:rsidDel="00000000" w:rsidR="00000000" w:rsidRPr="00000000">
        <w:rPr>
          <w:rtl w:val="0"/>
        </w:rPr>
        <w:t xml:space="preserve"> та статтею 7 </w:t>
      </w:r>
      <w:hyperlink r:id="rId12">
        <w:r w:rsidDel="00000000" w:rsidR="00000000" w:rsidRPr="00000000">
          <w:rPr>
            <w:color w:val="1155cc"/>
            <w:u w:val="single"/>
            <w:rtl w:val="0"/>
          </w:rPr>
          <w:t xml:space="preserve">Закону України «Про автомобільний транспорт»</w:t>
        </w:r>
      </w:hyperlink>
      <w:r w:rsidDel="00000000" w:rsidR="00000000" w:rsidRPr="00000000">
        <w:rPr>
          <w:rtl w:val="0"/>
        </w:rPr>
        <w:t xml:space="preserve">. Інформація про транспортні засоби, які обслуговують пасажирські автобусні маршрути, збирається під час проведення конкурсів з перевезення пасажирів на автобусному маршруті загального користування (Додаток 2 до Порядку, затвердженого </w:t>
      </w:r>
      <w:hyperlink r:id="rId13">
        <w:r w:rsidDel="00000000" w:rsidR="00000000" w:rsidRPr="00000000">
          <w:rPr>
            <w:color w:val="1155cc"/>
            <w:u w:val="single"/>
            <w:rtl w:val="0"/>
          </w:rPr>
          <w:t xml:space="preserve">Постановою КМУ від 03.12.2008 № 1081</w:t>
        </w:r>
      </w:hyperlink>
      <w:r w:rsidDel="00000000" w:rsidR="00000000" w:rsidRPr="00000000">
        <w:rPr>
          <w:rtl w:val="0"/>
        </w:rPr>
        <w:t xml:space="preserve">). Також відомості про транспортні засоби фіксуються під час інвентаризації активів та зобов’язань підприємств (див. </w:t>
      </w:r>
      <w:hyperlink r:id="rId14">
        <w:r w:rsidDel="00000000" w:rsidR="00000000" w:rsidRPr="00000000">
          <w:rPr>
            <w:color w:val="1155cc"/>
            <w:u w:val="single"/>
            <w:rtl w:val="0"/>
          </w:rPr>
          <w:t xml:space="preserve">Наказ Мінфіну України від 02.09.2014 № 879</w:t>
        </w:r>
      </w:hyperlink>
      <w:r w:rsidDel="00000000" w:rsidR="00000000" w:rsidRPr="00000000">
        <w:rPr>
          <w:rtl w:val="0"/>
        </w:rPr>
        <w:t xml:space="preserve">), вносяться до систем диспетчерського управління (стандарт </w:t>
      </w:r>
      <w:hyperlink r:id="rId15">
        <w:r w:rsidDel="00000000" w:rsidR="00000000" w:rsidRPr="00000000">
          <w:rPr>
            <w:color w:val="1155cc"/>
            <w:u w:val="single"/>
            <w:rtl w:val="0"/>
          </w:rPr>
          <w:t xml:space="preserve">GTFS</w:t>
        </w:r>
      </w:hyperlink>
      <w:r w:rsidDel="00000000" w:rsidR="00000000" w:rsidRPr="00000000">
        <w:rPr>
          <w:rtl w:val="0"/>
        </w:rPr>
        <w:t xml:space="preserve">). </w:t>
      </w:r>
    </w:p>
    <w:p w:rsidR="00000000" w:rsidDel="00000000" w:rsidP="00000000" w:rsidRDefault="00000000" w:rsidRPr="00000000" w14:paraId="00000013">
      <w:pPr>
        <w:spacing w:after="200" w:line="276" w:lineRule="auto"/>
        <w:rPr/>
      </w:pPr>
      <w:r w:rsidDel="00000000" w:rsidR="00000000" w:rsidRPr="00000000">
        <w:rPr>
          <w:rtl w:val="0"/>
        </w:rPr>
        <w:t xml:space="preserve">Відомості про транспортні засоби надаються суб’єктами господарювання для отримання ліцензій на перевезення пасажирів (додаток 3 до Ліцензійних умов, затверджених </w:t>
      </w:r>
      <w:hyperlink r:id="rId16">
        <w:r w:rsidDel="00000000" w:rsidR="00000000" w:rsidRPr="00000000">
          <w:rPr>
            <w:color w:val="1155cc"/>
            <w:u w:val="single"/>
            <w:rtl w:val="0"/>
          </w:rPr>
          <w:t xml:space="preserve">Постановою КМУ від 02.12.2015 № 1001</w:t>
        </w:r>
      </w:hyperlink>
      <w:r w:rsidDel="00000000" w:rsidR="00000000" w:rsidRPr="00000000">
        <w:rPr>
          <w:rtl w:val="0"/>
        </w:rPr>
        <w:t xml:space="preserve">). Дані оприлюднюються Державною службою України з безпеки на транспорті в </w:t>
      </w:r>
      <w:hyperlink r:id="rId17">
        <w:r w:rsidDel="00000000" w:rsidR="00000000" w:rsidRPr="00000000">
          <w:rPr>
            <w:color w:val="1155cc"/>
            <w:u w:val="single"/>
            <w:rtl w:val="0"/>
          </w:rPr>
          <w:t xml:space="preserve">Електронному кабінеті перевізника</w:t>
        </w:r>
      </w:hyperlink>
      <w:r w:rsidDel="00000000" w:rsidR="00000000" w:rsidRPr="00000000">
        <w:rPr>
          <w:rtl w:val="0"/>
        </w:rPr>
        <w:t xml:space="preserve"> та на </w:t>
      </w:r>
      <w:hyperlink r:id="rId18">
        <w:r w:rsidDel="00000000" w:rsidR="00000000" w:rsidRPr="00000000">
          <w:rPr>
            <w:color w:val="1155cc"/>
            <w:u w:val="single"/>
            <w:rtl w:val="0"/>
          </w:rPr>
          <w:t xml:space="preserve">data.gov.ua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pStyle w:val="Heading1"/>
        <w:spacing w:line="276" w:lineRule="auto"/>
        <w:rPr/>
      </w:pPr>
      <w:bookmarkStart w:colFirst="0" w:colLast="0" w:name="_mtidjmckvvz7"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5">
      <w:pPr>
        <w:rPr/>
      </w:pPr>
      <w:r w:rsidDel="00000000" w:rsidR="00000000" w:rsidRPr="00000000">
        <w:rPr>
          <w:rtl w:val="0"/>
        </w:rPr>
        <w:t xml:space="preserve">Відомості про транспортні засоби, як засоби провадження господарської діяльності вносяться до єдиної інформаційно-аналітичної системи Укртрансбезпеки (Електронний кабінет перевізника). Це, зокрема, марка, модель, тип, рік випуску, серія та номер свідоцтва про реєстрацію, дата первинної реєстрації, VIN, пасажиромісткість транспортного засобу та інше. Однак до системи не вносяться дані про маршрути, на яких використовуються транспортні засоби. Для уникнення дублювання інформації рекомендовано оприлюднювати в наборі реєстраційний номер транспортного засобу (номерний знак), найменування та код ЄДРПОУ перевізника та номер маршруту (за наявності).</w:t>
      </w:r>
    </w:p>
    <w:p w:rsidR="00000000" w:rsidDel="00000000" w:rsidP="00000000" w:rsidRDefault="00000000" w:rsidRPr="00000000" w14:paraId="00000016">
      <w:pPr>
        <w:rPr/>
      </w:pPr>
      <w:r w:rsidDel="00000000" w:rsidR="00000000" w:rsidRPr="00000000">
        <w:rPr>
          <w:rtl w:val="0"/>
        </w:rPr>
      </w:r>
    </w:p>
    <w:tbl>
      <w:tblPr>
        <w:tblStyle w:val="Table2"/>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rPr/>
            </w:pPr>
            <w:r w:rsidDel="00000000" w:rsidR="00000000" w:rsidRPr="00000000">
              <w:rPr>
                <w:rtl w:val="0"/>
              </w:rPr>
              <w:t xml:space="preserve">vehicles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pPr>
            <w:r w:rsidDel="00000000" w:rsidR="00000000" w:rsidRPr="00000000">
              <w:rPr>
                <w:rtl w:val="0"/>
              </w:rPr>
              <w:t xml:space="preserve">Один транспортний засіб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Розміщення нової версії ресурсу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hyperlink r:id="rId19">
              <w:r w:rsidDel="00000000" w:rsidR="00000000" w:rsidRPr="00000000">
                <w:rPr>
                  <w:color w:val="1155cc"/>
                  <w:u w:val="single"/>
                  <w:rtl w:val="0"/>
                </w:rPr>
                <w:t xml:space="preserve">vehicles.xlsx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76" w:lineRule="auto"/>
              <w:rPr/>
            </w:pPr>
            <w:hyperlink r:id="rId20">
              <w:r w:rsidDel="00000000" w:rsidR="00000000" w:rsidRPr="00000000">
                <w:rPr>
                  <w:color w:val="1155cc"/>
                  <w:u w:val="single"/>
                  <w:rtl w:val="0"/>
                </w:rPr>
                <w:t xml:space="preserve">Example</w:t>
              </w:r>
            </w:hyperlink>
            <w:hyperlink r:id="rId21">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76" w:lineRule="auto"/>
              <w:rPr/>
            </w:pPr>
            <w:hyperlink r:id="rId22">
              <w:r w:rsidDel="00000000" w:rsidR="00000000" w:rsidRPr="00000000">
                <w:rPr>
                  <w:color w:val="1155cc"/>
                  <w:u w:val="single"/>
                  <w:rtl w:val="0"/>
                </w:rPr>
                <w:t xml:space="preserve">Structure.xlsx</w:t>
              </w:r>
            </w:hyperlink>
            <w:r w:rsidDel="00000000" w:rsidR="00000000" w:rsidRPr="00000000">
              <w:rPr>
                <w:rtl w:val="0"/>
              </w:rPr>
              <w:t xml:space="preserve">, </w:t>
            </w:r>
            <w:hyperlink r:id="rId23">
              <w:r w:rsidDel="00000000" w:rsidR="00000000" w:rsidRPr="00000000">
                <w:rPr>
                  <w:color w:val="1155cc"/>
                  <w:u w:val="single"/>
                  <w:rtl w:val="0"/>
                </w:rPr>
                <w:t xml:space="preserve">Structure.csv</w:t>
              </w:r>
            </w:hyperlink>
            <w:r w:rsidDel="00000000" w:rsidR="00000000" w:rsidRPr="00000000">
              <w:rPr>
                <w:rtl w:val="0"/>
              </w:rPr>
              <w:t xml:space="preserve">, </w:t>
            </w:r>
            <w:hyperlink r:id="rId24">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27">
      <w:pPr>
        <w:spacing w:line="276" w:lineRule="auto"/>
        <w:jc w:val="both"/>
        <w:rPr/>
      </w:pP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25">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29">
      <w:pPr>
        <w:spacing w:line="276" w:lineRule="auto"/>
        <w:rPr>
          <w:b w:val="1"/>
        </w:rPr>
      </w:pPr>
      <w:r w:rsidDel="00000000" w:rsidR="00000000" w:rsidRPr="00000000">
        <w:rPr>
          <w:rtl w:val="0"/>
        </w:rPr>
      </w:r>
    </w:p>
    <w:p w:rsidR="00000000" w:rsidDel="00000000" w:rsidP="00000000" w:rsidRDefault="00000000" w:rsidRPr="00000000" w14:paraId="0000002A">
      <w:pPr>
        <w:spacing w:after="200" w:line="276" w:lineRule="auto"/>
        <w:jc w:val="center"/>
        <w:rPr/>
      </w:pPr>
      <w:r w:rsidDel="00000000" w:rsidR="00000000" w:rsidRPr="00000000">
        <w:rPr>
          <w:b w:val="1"/>
          <w:rtl w:val="0"/>
        </w:rPr>
        <w:t xml:space="preserve">Таблиця 1 — Структура таблиці (ресурсу) vehicles</w:t>
      </w:r>
      <w:r w:rsidDel="00000000" w:rsidR="00000000" w:rsidRPr="00000000">
        <w:rPr>
          <w:rtl w:val="0"/>
        </w:rPr>
      </w:r>
    </w:p>
    <w:tbl>
      <w:tblPr>
        <w:tblStyle w:val="Table4"/>
        <w:tblW w:w="9066.255406454475" w:type="dxa"/>
        <w:jc w:val="left"/>
        <w:tblInd w:w="99.77952755905513"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1.255406454475"/>
        <w:gridCol w:w="1485"/>
        <w:gridCol w:w="3510"/>
        <w:gridCol w:w="1290"/>
        <w:gridCol w:w="1290"/>
        <w:tblGridChange w:id="0">
          <w:tblGrid>
            <w:gridCol w:w="1491.255406454475"/>
            <w:gridCol w:w="1485"/>
            <w:gridCol w:w="3510"/>
            <w:gridCol w:w="1290"/>
            <w:gridCol w:w="1290"/>
          </w:tblGrid>
        </w:tblGridChange>
      </w:tblGrid>
      <w:tr>
        <w:trPr>
          <w:trHeight w:val="300" w:hRule="atLeast"/>
        </w:trP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B">
            <w:pPr>
              <w:widowControl w:val="0"/>
              <w:spacing w:line="276" w:lineRule="auto"/>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C">
            <w:pPr>
              <w:widowControl w:val="0"/>
              <w:spacing w:line="276" w:lineRule="auto"/>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D">
            <w:pPr>
              <w:widowControl w:val="0"/>
              <w:spacing w:line="276" w:lineRule="auto"/>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E">
            <w:pPr>
              <w:widowControl w:val="0"/>
              <w:spacing w:line="276" w:lineRule="auto"/>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F">
            <w:pPr>
              <w:widowControl w:val="0"/>
              <w:spacing w:line="276" w:lineRule="auto"/>
              <w:rPr>
                <w:b w:val="1"/>
              </w:rPr>
            </w:pPr>
            <w:r w:rsidDel="00000000" w:rsidR="00000000" w:rsidRPr="00000000">
              <w:rPr>
                <w:b w:val="1"/>
                <w:rtl w:val="0"/>
              </w:rPr>
              <w:t xml:space="preserve">Вимога заповнення (required)</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vehicle_number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widowControl w:val="0"/>
              <w:spacing w:line="276" w:lineRule="auto"/>
              <w:rPr/>
            </w:pPr>
            <w:r w:rsidDel="00000000" w:rsidR="00000000" w:rsidRPr="00000000">
              <w:rPr>
                <w:rtl w:val="0"/>
              </w:rPr>
              <w:t xml:space="preserve">Номерний знак</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widowControl w:val="0"/>
              <w:spacing w:line="276" w:lineRule="auto"/>
              <w:rPr/>
            </w:pPr>
            <w:r w:rsidDel="00000000" w:rsidR="00000000" w:rsidRPr="00000000">
              <w:rPr>
                <w:rtl w:val="0"/>
              </w:rPr>
              <w:t xml:space="preserve">Реєстраційний номерний знак транспортного засобу зазначається латинськими літерами без пробілів. Наприклад: AB1234EI.</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widowControl w:val="0"/>
              <w:spacing w:line="276" w:lineRule="auto"/>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4">
            <w:pPr>
              <w:widowControl w:val="0"/>
              <w:spacing w:line="276" w:lineRule="auto"/>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5">
            <w:pPr>
              <w:widowControl w:val="0"/>
              <w:rPr/>
            </w:pPr>
            <w:r w:rsidDel="00000000" w:rsidR="00000000" w:rsidRPr="00000000">
              <w:rPr>
                <w:rtl w:val="0"/>
              </w:rPr>
              <w:t xml:space="preserve">agency_id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6">
            <w:pPr>
              <w:widowControl w:val="0"/>
              <w:rPr/>
            </w:pPr>
            <w:r w:rsidDel="00000000" w:rsidR="00000000" w:rsidRPr="00000000">
              <w:rPr>
                <w:rtl w:val="0"/>
              </w:rPr>
              <w:t xml:space="preserve">Ідентифікатор перевізника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7">
            <w:pPr>
              <w:widowControl w:val="0"/>
              <w:rPr/>
            </w:pPr>
            <w:r w:rsidDel="00000000" w:rsidR="00000000" w:rsidRPr="00000000">
              <w:rPr>
                <w:rtl w:val="0"/>
              </w:rPr>
              <w:t xml:space="preserve">Код ЄДРПОУ перевізника. </w:t>
            </w:r>
            <w:r w:rsidDel="00000000" w:rsidR="00000000" w:rsidRPr="00000000">
              <w:rPr>
                <w:rtl w:val="0"/>
              </w:rPr>
              <w:t xml:space="preserve">У випадку ФОП дані про РНОКПП знеособлюються.</w:t>
            </w:r>
            <w:r w:rsidDel="00000000" w:rsidR="00000000" w:rsidRPr="00000000">
              <w:rPr>
                <w:rtl w:val="0"/>
              </w:rPr>
              <w:t xml:space="preserve"> Наприклад: 01234567.</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8">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9">
            <w:pPr>
              <w:widowControl w:val="0"/>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A">
            <w:pPr>
              <w:widowControl w:val="0"/>
              <w:rPr/>
            </w:pPr>
            <w:r w:rsidDel="00000000" w:rsidR="00000000" w:rsidRPr="00000000">
              <w:rPr>
                <w:rtl w:val="0"/>
              </w:rPr>
              <w:t xml:space="preserve">agency_name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B">
            <w:pPr>
              <w:widowControl w:val="0"/>
              <w:rPr/>
            </w:pPr>
            <w:r w:rsidDel="00000000" w:rsidR="00000000" w:rsidRPr="00000000">
              <w:rPr>
                <w:rtl w:val="0"/>
              </w:rPr>
              <w:t xml:space="preserve">Назва перевізника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C">
            <w:pPr>
              <w:widowControl w:val="0"/>
              <w:rPr/>
            </w:pPr>
            <w:r w:rsidDel="00000000" w:rsidR="00000000" w:rsidRPr="00000000">
              <w:rPr>
                <w:rtl w:val="0"/>
              </w:rPr>
              <w:t xml:space="preserve">Назва юридичної особи або прізвище, ім’я, по батькові фізичної особи-підприємця. Наприклад: Комунальне підприємство «Муніципальна транспортна компанія».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D">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E">
            <w:pPr>
              <w:widowControl w:val="0"/>
              <w:rPr/>
            </w:pPr>
            <w:r w:rsidDel="00000000" w:rsidR="00000000" w:rsidRPr="00000000">
              <w:rPr>
                <w:rtl w:val="0"/>
              </w:rPr>
              <w:t xml:space="preserve">Істина (true)</w:t>
            </w:r>
          </w:p>
        </w:tc>
      </w:tr>
      <w:tr>
        <w:trPr>
          <w:trHeight w:val="50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F">
            <w:pPr>
              <w:widowControl w:val="0"/>
              <w:rPr/>
            </w:pPr>
            <w:r w:rsidDel="00000000" w:rsidR="00000000" w:rsidRPr="00000000">
              <w:rPr>
                <w:rtl w:val="0"/>
              </w:rPr>
              <w:t xml:space="preserve">route_id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0">
            <w:pPr>
              <w:widowControl w:val="0"/>
              <w:rPr/>
            </w:pPr>
            <w:r w:rsidDel="00000000" w:rsidR="00000000" w:rsidRPr="00000000">
              <w:rPr>
                <w:rtl w:val="0"/>
              </w:rPr>
              <w:t xml:space="preserve">Номер маршруту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1">
            <w:pPr>
              <w:widowControl w:val="0"/>
              <w:rPr/>
            </w:pPr>
            <w:r w:rsidDel="00000000" w:rsidR="00000000" w:rsidRPr="00000000">
              <w:rPr>
                <w:rtl w:val="0"/>
              </w:rPr>
              <w:t xml:space="preserve">Номер маршруту громадського транспорту. Наприклад: 23А. Якщо маршрутів декілька, необхідно розділити значення комою.</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2">
            <w:pPr>
              <w:widowControl w:val="0"/>
              <w:rPr/>
            </w:pPr>
            <w:r w:rsidDel="00000000" w:rsidR="00000000" w:rsidRPr="00000000">
              <w:rPr>
                <w:rtl w:val="0"/>
              </w:rPr>
              <w:t xml:space="preserve">Текст (string)</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3">
            <w:pPr>
              <w:widowControl w:val="0"/>
              <w:rPr/>
            </w:pPr>
            <w:r w:rsidDel="00000000" w:rsidR="00000000" w:rsidRPr="00000000">
              <w:rPr>
                <w:rtl w:val="0"/>
              </w:rPr>
              <w:t xml:space="preserve">Істина (true)</w:t>
            </w:r>
          </w:p>
        </w:tc>
      </w:tr>
    </w:tbl>
    <w:p w:rsidR="00000000" w:rsidDel="00000000" w:rsidP="00000000" w:rsidRDefault="00000000" w:rsidRPr="00000000" w14:paraId="00000044">
      <w:pPr>
        <w:spacing w:line="276" w:lineRule="auto"/>
        <w:jc w:val="both"/>
        <w:rPr/>
      </w:pPr>
      <w:r w:rsidDel="00000000" w:rsidR="00000000" w:rsidRPr="00000000">
        <w:rPr>
          <w:rtl w:val="0"/>
        </w:rPr>
      </w:r>
    </w:p>
    <w:p w:rsidR="00000000" w:rsidDel="00000000" w:rsidP="00000000" w:rsidRDefault="00000000" w:rsidRPr="00000000" w14:paraId="00000045">
      <w:pPr>
        <w:pStyle w:val="Heading1"/>
        <w:spacing w:line="276" w:lineRule="auto"/>
        <w:rPr/>
      </w:pPr>
      <w:bookmarkStart w:colFirst="0" w:colLast="0" w:name="_ayzcnxf60j46" w:id="4"/>
      <w:bookmarkEnd w:id="4"/>
      <w:r w:rsidDel="00000000" w:rsidR="00000000" w:rsidRPr="00000000">
        <w:rPr>
          <w:rtl w:val="0"/>
        </w:rPr>
        <w:t xml:space="preserve">4. Оформлення паспортів наборів та ресурсів</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6">
            <w:pPr>
              <w:spacing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47">
      <w:pPr>
        <w:spacing w:after="200" w:line="276" w:lineRule="auto"/>
        <w:jc w:val="center"/>
        <w:rPr/>
      </w:pPr>
      <w:r w:rsidDel="00000000" w:rsidR="00000000" w:rsidRPr="00000000">
        <w:rPr>
          <w:rtl w:val="0"/>
        </w:rPr>
      </w:r>
    </w:p>
    <w:p w:rsidR="00000000" w:rsidDel="00000000" w:rsidP="00000000" w:rsidRDefault="00000000" w:rsidRPr="00000000" w14:paraId="00000048">
      <w:pPr>
        <w:spacing w:after="200" w:line="276" w:lineRule="auto"/>
        <w:jc w:val="center"/>
        <w:rPr>
          <w:b w:val="1"/>
        </w:rPr>
      </w:pPr>
      <w:r w:rsidDel="00000000" w:rsidR="00000000" w:rsidRPr="00000000">
        <w:rPr>
          <w:b w:val="1"/>
          <w:rtl w:val="0"/>
        </w:rPr>
        <w:t xml:space="preserve">Таблиця 2 — Приклад паспорта набору даних на data.gov.ua</w:t>
      </w:r>
    </w:p>
    <w:tbl>
      <w:tblPr>
        <w:tblStyle w:val="Table6"/>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195"/>
        <w:gridCol w:w="5850"/>
        <w:tblGridChange w:id="0">
          <w:tblGrid>
            <w:gridCol w:w="3195"/>
            <w:gridCol w:w="5850"/>
          </w:tblGrid>
        </w:tblGridChange>
      </w:tblGrid>
      <w:tr>
        <w:trPr>
          <w:trHeight w:val="100" w:hRule="atLeast"/>
        </w:trPr>
        <w:tc>
          <w:tcPr/>
          <w:p w:rsidR="00000000" w:rsidDel="00000000" w:rsidP="00000000" w:rsidRDefault="00000000" w:rsidRPr="00000000" w14:paraId="00000049">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4A">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4B">
            <w:pPr>
              <w:spacing w:line="276" w:lineRule="auto"/>
              <w:rPr/>
            </w:pPr>
            <w:r w:rsidDel="00000000" w:rsidR="00000000" w:rsidRPr="00000000">
              <w:rPr>
                <w:rtl w:val="0"/>
              </w:rPr>
              <w:t xml:space="preserve">Назва набору</w:t>
            </w:r>
          </w:p>
        </w:tc>
        <w:tc>
          <w:tcPr/>
          <w:p w:rsidR="00000000" w:rsidDel="00000000" w:rsidP="00000000" w:rsidRDefault="00000000" w:rsidRPr="00000000" w14:paraId="0000004C">
            <w:pPr>
              <w:widowControl w:val="0"/>
              <w:spacing w:line="276" w:lineRule="auto"/>
              <w:rPr/>
            </w:pPr>
            <w:r w:rsidDel="00000000" w:rsidR="00000000" w:rsidRPr="00000000">
              <w:rPr>
                <w:rtl w:val="0"/>
              </w:rPr>
              <w:t xml:space="preserve">Відомості щодо транспортних засобів, які обслуговують пасажирські автобусні, тролейбусні та трамвайні маршрути перевезення</w:t>
            </w:r>
          </w:p>
        </w:tc>
      </w:tr>
      <w:tr>
        <w:trPr>
          <w:trHeight w:val="20" w:hRule="atLeast"/>
        </w:trPr>
        <w:tc>
          <w:tcPr/>
          <w:p w:rsidR="00000000" w:rsidDel="00000000" w:rsidP="00000000" w:rsidRDefault="00000000" w:rsidRPr="00000000" w14:paraId="0000004D">
            <w:pPr>
              <w:spacing w:line="276" w:lineRule="auto"/>
              <w:rPr/>
            </w:pPr>
            <w:r w:rsidDel="00000000" w:rsidR="00000000" w:rsidRPr="00000000">
              <w:rPr>
                <w:rtl w:val="0"/>
              </w:rPr>
              <w:t xml:space="preserve">Відомості про мову інформації, яка міститься у наборі</w:t>
            </w:r>
          </w:p>
        </w:tc>
        <w:tc>
          <w:tcPr/>
          <w:p w:rsidR="00000000" w:rsidDel="00000000" w:rsidP="00000000" w:rsidRDefault="00000000" w:rsidRPr="00000000" w14:paraId="0000004E">
            <w:pPr>
              <w:widowControl w:val="0"/>
              <w:spacing w:line="276" w:lineRule="auto"/>
              <w:rPr/>
            </w:pPr>
            <w:r w:rsidDel="00000000" w:rsidR="00000000" w:rsidRPr="00000000">
              <w:rPr>
                <w:rtl w:val="0"/>
              </w:rPr>
              <w:t xml:space="preserve">Українська</w:t>
            </w:r>
          </w:p>
        </w:tc>
      </w:tr>
      <w:tr>
        <w:trPr>
          <w:trHeight w:val="100" w:hRule="atLeast"/>
        </w:trPr>
        <w:tc>
          <w:tcPr/>
          <w:p w:rsidR="00000000" w:rsidDel="00000000" w:rsidP="00000000" w:rsidRDefault="00000000" w:rsidRPr="00000000" w14:paraId="0000004F">
            <w:pPr>
              <w:spacing w:line="276" w:lineRule="auto"/>
              <w:rPr>
                <w:shd w:fill="fcfcfc" w:val="clear"/>
              </w:rPr>
            </w:pPr>
            <w:r w:rsidDel="00000000" w:rsidR="00000000" w:rsidRPr="00000000">
              <w:rPr>
                <w:shd w:fill="fcfcfc" w:val="clear"/>
                <w:rtl w:val="0"/>
              </w:rPr>
              <w:t xml:space="preserve">Частота оновлення</w:t>
            </w:r>
          </w:p>
        </w:tc>
        <w:tc>
          <w:tcPr/>
          <w:p w:rsidR="00000000" w:rsidDel="00000000" w:rsidP="00000000" w:rsidRDefault="00000000" w:rsidRPr="00000000" w14:paraId="00000050">
            <w:pPr>
              <w:widowControl w:val="0"/>
              <w:spacing w:line="276" w:lineRule="auto"/>
              <w:rPr/>
            </w:pPr>
            <w:r w:rsidDel="00000000" w:rsidR="00000000" w:rsidRPr="00000000">
              <w:rPr>
                <w:rtl w:val="0"/>
              </w:rPr>
              <w:t xml:space="preserve">Щ</w:t>
            </w:r>
            <w:r w:rsidDel="00000000" w:rsidR="00000000" w:rsidRPr="00000000">
              <w:rPr>
                <w:rtl w:val="0"/>
              </w:rPr>
              <w:t xml:space="preserve">омісяця</w:t>
            </w:r>
          </w:p>
        </w:tc>
      </w:tr>
      <w:tr>
        <w:trPr>
          <w:trHeight w:val="400" w:hRule="atLeast"/>
        </w:trPr>
        <w:tc>
          <w:tcPr/>
          <w:p w:rsidR="00000000" w:rsidDel="00000000" w:rsidP="00000000" w:rsidRDefault="00000000" w:rsidRPr="00000000" w14:paraId="00000051">
            <w:pPr>
              <w:spacing w:line="276" w:lineRule="auto"/>
              <w:rPr/>
            </w:pPr>
            <w:r w:rsidDel="00000000" w:rsidR="00000000" w:rsidRPr="00000000">
              <w:rPr>
                <w:shd w:fill="fcfcfc" w:val="clear"/>
                <w:rtl w:val="0"/>
              </w:rPr>
              <w:t xml:space="preserve">Опис</w:t>
            </w:r>
            <w:r w:rsidDel="00000000" w:rsidR="00000000" w:rsidRPr="00000000">
              <w:rPr>
                <w:rtl w:val="0"/>
              </w:rPr>
            </w:r>
          </w:p>
        </w:tc>
        <w:tc>
          <w:tcPr/>
          <w:p w:rsidR="00000000" w:rsidDel="00000000" w:rsidP="00000000" w:rsidRDefault="00000000" w:rsidRPr="00000000" w14:paraId="00000052">
            <w:pPr>
              <w:widowControl w:val="0"/>
              <w:spacing w:line="276" w:lineRule="auto"/>
              <w:rPr/>
            </w:pPr>
            <w:r w:rsidDel="00000000" w:rsidR="00000000" w:rsidRPr="00000000">
              <w:rPr>
                <w:rtl w:val="0"/>
              </w:rPr>
              <w:t xml:space="preserve">Набір містить дані про перевізників та номери транспортних засобів, що обслуговують пасажирські автобусні, тролейбусні та трамвайні маршрути перевезення. Детальні характеристики транспортних засобів доступні в наборі даних «Транспортні засоби, як засоби провадження господарської діяльності» Державної служби України з безпеки на транспорті.</w:t>
            </w:r>
          </w:p>
        </w:tc>
      </w:tr>
      <w:tr>
        <w:trPr>
          <w:trHeight w:val="180" w:hRule="atLeast"/>
        </w:trPr>
        <w:tc>
          <w:tcPr/>
          <w:p w:rsidR="00000000" w:rsidDel="00000000" w:rsidP="00000000" w:rsidRDefault="00000000" w:rsidRPr="00000000" w14:paraId="00000053">
            <w:pPr>
              <w:spacing w:line="276" w:lineRule="auto"/>
              <w:rPr>
                <w:shd w:fill="fcfcfc" w:val="clear"/>
              </w:rPr>
            </w:pPr>
            <w:r w:rsidDel="00000000" w:rsidR="00000000" w:rsidRPr="00000000">
              <w:rPr>
                <w:shd w:fill="fcfcfc" w:val="clear"/>
                <w:rtl w:val="0"/>
              </w:rPr>
              <w:t xml:space="preserve">Підстава та призначення збору інформації</w:t>
            </w:r>
          </w:p>
        </w:tc>
        <w:tc>
          <w:tcPr/>
          <w:p w:rsidR="00000000" w:rsidDel="00000000" w:rsidP="00000000" w:rsidRDefault="00000000" w:rsidRPr="00000000" w14:paraId="00000054">
            <w:pPr>
              <w:widowControl w:val="0"/>
              <w:spacing w:line="276" w:lineRule="auto"/>
              <w:rPr/>
            </w:pPr>
            <w:r w:rsidDel="00000000" w:rsidR="00000000" w:rsidRPr="00000000">
              <w:rPr>
                <w:rtl w:val="0"/>
              </w:rPr>
              <w:t xml:space="preserve">Закон України «Про автомобільний транспорт» від 05.04.2001 № 2344-III, Постанова КМУ від 03.12.2008 № 1081, Постанова КМУ від 18.02.1997 № 176</w:t>
            </w:r>
            <w:r w:rsidDel="00000000" w:rsidR="00000000" w:rsidRPr="00000000">
              <w:rPr>
                <w:rtl w:val="0"/>
              </w:rPr>
            </w:r>
          </w:p>
        </w:tc>
      </w:tr>
      <w:tr>
        <w:trPr>
          <w:trHeight w:val="120" w:hRule="atLeast"/>
        </w:trPr>
        <w:tc>
          <w:tcPr/>
          <w:p w:rsidR="00000000" w:rsidDel="00000000" w:rsidP="00000000" w:rsidRDefault="00000000" w:rsidRPr="00000000" w14:paraId="00000055">
            <w:pPr>
              <w:spacing w:line="276" w:lineRule="auto"/>
              <w:rPr>
                <w:shd w:fill="fcfcfc" w:val="clear"/>
              </w:rPr>
            </w:pPr>
            <w:r w:rsidDel="00000000" w:rsidR="00000000" w:rsidRPr="00000000">
              <w:rPr>
                <w:shd w:fill="fcfcfc" w:val="clear"/>
                <w:rtl w:val="0"/>
              </w:rPr>
              <w:t xml:space="preserve">Ключові слова</w:t>
            </w:r>
          </w:p>
        </w:tc>
        <w:tc>
          <w:tcPr/>
          <w:p w:rsidR="00000000" w:rsidDel="00000000" w:rsidP="00000000" w:rsidRDefault="00000000" w:rsidRPr="00000000" w14:paraId="00000056">
            <w:pPr>
              <w:widowControl w:val="0"/>
              <w:spacing w:line="276" w:lineRule="auto"/>
              <w:rPr/>
            </w:pPr>
            <w:r w:rsidDel="00000000" w:rsidR="00000000" w:rsidRPr="00000000">
              <w:rPr>
                <w:rtl w:val="0"/>
              </w:rPr>
              <w:t xml:space="preserve">транспорт, автобус, тролейбус, трамвай, доступність, модель, марка, пальне, пасажиромісткість, маршрут, громадський транспорт</w:t>
            </w:r>
          </w:p>
        </w:tc>
      </w:tr>
      <w:tr>
        <w:trPr>
          <w:trHeight w:val="460" w:hRule="atLeast"/>
        </w:trPr>
        <w:tc>
          <w:tcPr/>
          <w:p w:rsidR="00000000" w:rsidDel="00000000" w:rsidP="00000000" w:rsidRDefault="00000000" w:rsidRPr="00000000" w14:paraId="00000057">
            <w:pPr>
              <w:spacing w:line="276" w:lineRule="auto"/>
              <w:rPr>
                <w:shd w:fill="fcfcfc" w:val="clear"/>
              </w:rPr>
            </w:pPr>
            <w:r w:rsidDel="00000000" w:rsidR="00000000" w:rsidRPr="00000000">
              <w:rPr>
                <w:shd w:fill="fcfcfc" w:val="clear"/>
                <w:rtl w:val="0"/>
              </w:rPr>
              <w:t xml:space="preserve">Відповідальна особа</w:t>
            </w:r>
          </w:p>
        </w:tc>
        <w:tc>
          <w:tcPr/>
          <w:p w:rsidR="00000000" w:rsidDel="00000000" w:rsidP="00000000" w:rsidRDefault="00000000" w:rsidRPr="00000000" w14:paraId="00000058">
            <w:pPr>
              <w:widowControl w:val="0"/>
              <w:spacing w:line="276" w:lineRule="auto"/>
              <w:rPr/>
            </w:pPr>
            <w:r w:rsidDel="00000000" w:rsidR="00000000" w:rsidRPr="00000000">
              <w:rPr>
                <w:rtl w:val="0"/>
              </w:rPr>
              <w:t xml:space="preserve">Симоненко Олена Петрівна</w:t>
            </w:r>
          </w:p>
        </w:tc>
      </w:tr>
      <w:tr>
        <w:trPr>
          <w:trHeight w:val="460" w:hRule="atLeast"/>
        </w:trPr>
        <w:tc>
          <w:tcPr/>
          <w:p w:rsidR="00000000" w:rsidDel="00000000" w:rsidP="00000000" w:rsidRDefault="00000000" w:rsidRPr="00000000" w14:paraId="00000059">
            <w:pPr>
              <w:spacing w:line="276" w:lineRule="auto"/>
              <w:rPr>
                <w:shd w:fill="fcfcfc" w:val="clear"/>
              </w:rPr>
            </w:pPr>
            <w:r w:rsidDel="00000000" w:rsidR="00000000" w:rsidRPr="00000000">
              <w:rPr>
                <w:shd w:fill="fcfcfc" w:val="clear"/>
                <w:rtl w:val="0"/>
              </w:rPr>
              <w:t xml:space="preserve">Адреса електронної пошти відповідальної особи</w:t>
            </w:r>
          </w:p>
        </w:tc>
        <w:tc>
          <w:tcPr/>
          <w:p w:rsidR="00000000" w:rsidDel="00000000" w:rsidP="00000000" w:rsidRDefault="00000000" w:rsidRPr="00000000" w14:paraId="0000005A">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05B">
      <w:pPr>
        <w:spacing w:line="276" w:lineRule="auto"/>
        <w:rPr>
          <w:b w:val="1"/>
        </w:rPr>
      </w:pPr>
      <w:r w:rsidDel="00000000" w:rsidR="00000000" w:rsidRPr="00000000">
        <w:rPr>
          <w:rtl w:val="0"/>
        </w:rPr>
      </w:r>
    </w:p>
    <w:p w:rsidR="00000000" w:rsidDel="00000000" w:rsidP="00000000" w:rsidRDefault="00000000" w:rsidRPr="00000000" w14:paraId="0000005C">
      <w:pPr>
        <w:spacing w:line="276" w:lineRule="auto"/>
        <w:jc w:val="center"/>
        <w:rPr>
          <w:b w:val="1"/>
        </w:rPr>
      </w:pPr>
      <w:r w:rsidDel="00000000" w:rsidR="00000000" w:rsidRPr="00000000">
        <w:rPr>
          <w:b w:val="1"/>
          <w:rtl w:val="0"/>
        </w:rPr>
        <w:t xml:space="preserve">Таблиця 3 — Приклад паспорта ресурсу vehicles</w:t>
      </w:r>
    </w:p>
    <w:p w:rsidR="00000000" w:rsidDel="00000000" w:rsidP="00000000" w:rsidRDefault="00000000" w:rsidRPr="00000000" w14:paraId="0000005D">
      <w:pPr>
        <w:spacing w:line="276" w:lineRule="auto"/>
        <w:jc w:val="center"/>
        <w:rPr>
          <w:b w:val="1"/>
        </w:rPr>
      </w:pPr>
      <w:r w:rsidDel="00000000" w:rsidR="00000000" w:rsidRPr="00000000">
        <w:rPr>
          <w:rtl w:val="0"/>
        </w:rPr>
      </w:r>
    </w:p>
    <w:tbl>
      <w:tblPr>
        <w:tblStyle w:val="Table7"/>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195"/>
        <w:gridCol w:w="5850"/>
        <w:tblGridChange w:id="0">
          <w:tblGrid>
            <w:gridCol w:w="3195"/>
            <w:gridCol w:w="5850"/>
          </w:tblGrid>
        </w:tblGridChange>
      </w:tblGrid>
      <w:tr>
        <w:trPr>
          <w:trHeight w:val="20" w:hRule="atLeast"/>
        </w:trPr>
        <w:tc>
          <w:tcPr/>
          <w:p w:rsidR="00000000" w:rsidDel="00000000" w:rsidP="00000000" w:rsidRDefault="00000000" w:rsidRPr="00000000" w14:paraId="0000005E">
            <w:pPr>
              <w:widowControl w:val="0"/>
              <w:spacing w:line="276" w:lineRule="auto"/>
              <w:rPr>
                <w:b w:val="1"/>
              </w:rPr>
            </w:pPr>
            <w:r w:rsidDel="00000000" w:rsidR="00000000" w:rsidRPr="00000000">
              <w:rPr>
                <w:b w:val="1"/>
                <w:rtl w:val="0"/>
              </w:rPr>
              <w:t xml:space="preserve">Назва поля</w:t>
            </w:r>
          </w:p>
        </w:tc>
        <w:tc>
          <w:tcPr/>
          <w:p w:rsidR="00000000" w:rsidDel="00000000" w:rsidP="00000000" w:rsidRDefault="00000000" w:rsidRPr="00000000" w14:paraId="0000005F">
            <w:pPr>
              <w:widowControl w:val="0"/>
              <w:spacing w:line="276" w:lineRule="auto"/>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060">
            <w:pPr>
              <w:spacing w:line="276" w:lineRule="auto"/>
              <w:rPr/>
            </w:pPr>
            <w:r w:rsidDel="00000000" w:rsidR="00000000" w:rsidRPr="00000000">
              <w:rPr>
                <w:rtl w:val="0"/>
              </w:rPr>
              <w:t xml:space="preserve">Назва ресурсу</w:t>
            </w:r>
          </w:p>
        </w:tc>
        <w:tc>
          <w:tcPr/>
          <w:p w:rsidR="00000000" w:rsidDel="00000000" w:rsidP="00000000" w:rsidRDefault="00000000" w:rsidRPr="00000000" w14:paraId="00000061">
            <w:pPr>
              <w:widowControl w:val="0"/>
              <w:spacing w:line="276" w:lineRule="auto"/>
              <w:rPr/>
            </w:pPr>
            <w:r w:rsidDel="00000000" w:rsidR="00000000" w:rsidRPr="00000000">
              <w:rPr>
                <w:rtl w:val="0"/>
              </w:rPr>
              <w:t xml:space="preserve">vehicles.xlsx</w:t>
            </w:r>
          </w:p>
        </w:tc>
      </w:tr>
      <w:tr>
        <w:tc>
          <w:tcPr/>
          <w:p w:rsidR="00000000" w:rsidDel="00000000" w:rsidP="00000000" w:rsidRDefault="00000000" w:rsidRPr="00000000" w14:paraId="00000062">
            <w:pPr>
              <w:spacing w:line="276" w:lineRule="auto"/>
              <w:rPr/>
            </w:pPr>
            <w:r w:rsidDel="00000000" w:rsidR="00000000" w:rsidRPr="00000000">
              <w:rPr>
                <w:rtl w:val="0"/>
              </w:rPr>
              <w:t xml:space="preserve">Опис</w:t>
            </w:r>
          </w:p>
        </w:tc>
        <w:tc>
          <w:tcPr/>
          <w:p w:rsidR="00000000" w:rsidDel="00000000" w:rsidP="00000000" w:rsidRDefault="00000000" w:rsidRPr="00000000" w14:paraId="00000063">
            <w:pPr>
              <w:widowControl w:val="0"/>
              <w:spacing w:line="276" w:lineRule="auto"/>
              <w:rPr/>
            </w:pPr>
            <w:r w:rsidDel="00000000" w:rsidR="00000000" w:rsidRPr="00000000">
              <w:rPr>
                <w:rtl w:val="0"/>
              </w:rPr>
              <w:t xml:space="preserve">Таблиця містить дані про номерний знак транспортного засобу, найменування й ідентифікатор перевізника, номер маршруту. Кожним записом у таблиці є один транспортний засіб.</w:t>
            </w:r>
          </w:p>
        </w:tc>
      </w:tr>
      <w:tr>
        <w:trPr>
          <w:trHeight w:val="160" w:hRule="atLeast"/>
        </w:trPr>
        <w:tc>
          <w:tcPr/>
          <w:p w:rsidR="00000000" w:rsidDel="00000000" w:rsidP="00000000" w:rsidRDefault="00000000" w:rsidRPr="00000000" w14:paraId="00000064">
            <w:pPr>
              <w:spacing w:line="276" w:lineRule="auto"/>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065">
            <w:pPr>
              <w:widowControl w:val="0"/>
              <w:spacing w:line="276" w:lineRule="auto"/>
              <w:rPr/>
            </w:pPr>
            <w:r w:rsidDel="00000000" w:rsidR="00000000" w:rsidRPr="00000000">
              <w:rPr>
                <w:rtl w:val="0"/>
              </w:rPr>
              <w:t xml:space="preserve">XLSX</w:t>
            </w:r>
            <w:r w:rsidDel="00000000" w:rsidR="00000000" w:rsidRPr="00000000">
              <w:rPr>
                <w:rtl w:val="0"/>
              </w:rPr>
            </w:r>
          </w:p>
        </w:tc>
      </w:tr>
    </w:tbl>
    <w:p w:rsidR="00000000" w:rsidDel="00000000" w:rsidP="00000000" w:rsidRDefault="00000000" w:rsidRPr="00000000" w14:paraId="00000066">
      <w:pPr>
        <w:spacing w:line="276" w:lineRule="auto"/>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Андрей Денщик" w:id="0" w:date="2019-10-30T08:04:15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Добрый день. Можно получить уточнение? Дело все в том, что постановление КМУ 1081 регулирует проведение конкурса на автобусные маршруты. Вместе с тем, перечень предлагаемых к работе на маршруте автобусов остается на стадии проведения конкурса, и только. Ни ЗУ "Про автомобильный транспорт" ни постанова КМУ 1081 не обязывает заказчика перевозок включать перечень автобусов в заключаемый договор. Иными словами, правовые основания для сбора, хранения и переработки данных об автобусах, работающих на маршрутах, отсутствуют. Но следует сделать одну оговорку. В случае коммунальных автопредприятий, предприятий электрического транспорта, сбор данных о подвижном составе все таки проводить нужно, та как это собственность территориальной громады.</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Пожалуйста изучите внимательно ЗУ "Про автомобильный транспорт" и постанову КМУ 1081, и конечно же с учетом ст. 19 Конституции Украины и ст. 24 ЗУ "О местном самоуправлении в Украине".</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Заранее спасибо за ответ.</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 еще вопрос по таблице 1</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Согласно постанове КМУ 835</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для органов местного самоуправления установлено требование публиковать:</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"Відомості про транспортні засоби, які обслуговують пасажирські автобусні, тролейбусні та трамвайні маршрути перевезення (кількість транспортних засобів на кожному маршруті, марка, модель, державний номер, пасажиромісткість)"</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На основании какого нормативно-правового акта в Вашей табл 1 указаны требования по публикации:</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Ідентифікаційний код (VIN) транспортного засобу.</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Рік виробництва транспортного засобу (лише число)</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Серія та номер свідоцтва про реєстрацію транспортного засобу. Наприклад: АБ-012345</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Дата видачі свідоцтва у форматі ISO 8601 (рррр-мм-дд). Наприклад, 2014-05-30</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Колір кузову транспортного засобу словом у чоловічому роді. Наприклад, білий.</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Типом пального може бути одне зі значень: бензин, дизельне паливо, електрична енергія. Наприклад: електрична енергія.</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Кількість сидячих місць у транспортному засобі для пасажирів. Наприклад: 25.</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Сума сидячих та стоячих місць у транспортному засобі. Наприклад: 45.</w:t>
      </w:r>
    </w:p>
  </w:comment>
  <w:comment w:author="Bohdan Tyshkevych" w:id="1" w:date="2019-12-22T15:50:51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Структура набору змінена. Пропозиція частково врахована.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tapas-opendata/decreet-835-mun/raw/master/transport/vehicles/Example.xlsx" TargetMode="External"/><Relationship Id="rId22" Type="http://schemas.openxmlformats.org/officeDocument/2006/relationships/hyperlink" Target="https://github.com/tapas-opendata/decreet-835-mun/raw/master/transport/vehicles/Structure.xlsx" TargetMode="External"/><Relationship Id="rId21" Type="http://schemas.openxmlformats.org/officeDocument/2006/relationships/hyperlink" Target="https://github.com/tapas-opendata/decreet-835-mun/raw/master/transport/vehicles/Example.xlsx" TargetMode="External"/><Relationship Id="rId24" Type="http://schemas.openxmlformats.org/officeDocument/2006/relationships/hyperlink" Target="https://raw.githubusercontent.com/tapas-opendata/decreet-835-mun/master/transport/vehicles/Structure.json" TargetMode="External"/><Relationship Id="rId23" Type="http://schemas.openxmlformats.org/officeDocument/2006/relationships/hyperlink" Target="https://raw.githubusercontent.com/tapas-opendata/decreet-835-mun/master/transport/vehicles/Structure.csv"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zakon.rada.gov.ua/laws/show/1081-2008-%D0%BF" TargetMode="External"/><Relationship Id="rId25" Type="http://schemas.openxmlformats.org/officeDocument/2006/relationships/hyperlink" Target="https://docs.ckan.org/en/latest/maintaining/datastore.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zakon.rada.gov.ua/laws/show/280/97-%D0%B2%D1%80" TargetMode="External"/><Relationship Id="rId8" Type="http://schemas.openxmlformats.org/officeDocument/2006/relationships/hyperlink" Target="https://zakon.rada.gov.ua/laws/show/2344-14" TargetMode="External"/><Relationship Id="rId11" Type="http://schemas.openxmlformats.org/officeDocument/2006/relationships/hyperlink" Target="https://zakon.rada.gov.ua/laws/show/280/97-%D0%B2%D1%80" TargetMode="External"/><Relationship Id="rId10" Type="http://schemas.openxmlformats.org/officeDocument/2006/relationships/hyperlink" Target="https://zakon.rada.gov.ua/laws/show/176-97-%D0%BF" TargetMode="External"/><Relationship Id="rId13" Type="http://schemas.openxmlformats.org/officeDocument/2006/relationships/hyperlink" Target="https://zakon.rada.gov.ua/laws/show/1081-2008-%D0%BF" TargetMode="External"/><Relationship Id="rId12" Type="http://schemas.openxmlformats.org/officeDocument/2006/relationships/hyperlink" Target="https://zakon.rada.gov.ua/laws/show/2344-14" TargetMode="External"/><Relationship Id="rId15" Type="http://schemas.openxmlformats.org/officeDocument/2006/relationships/hyperlink" Target="https://developers.google.com/transit/gtfs/" TargetMode="External"/><Relationship Id="rId14" Type="http://schemas.openxmlformats.org/officeDocument/2006/relationships/hyperlink" Target="https://zakon.rada.gov.ua/laws/show/z1365-14" TargetMode="External"/><Relationship Id="rId17" Type="http://schemas.openxmlformats.org/officeDocument/2006/relationships/hyperlink" Target="https://e-services.dsbt.gov.ua/#/" TargetMode="External"/><Relationship Id="rId16" Type="http://schemas.openxmlformats.org/officeDocument/2006/relationships/hyperlink" Target="https://zakon.rada.gov.ua/laws/show/1001-2015-%D0%BF" TargetMode="External"/><Relationship Id="rId19" Type="http://schemas.openxmlformats.org/officeDocument/2006/relationships/hyperlink" Target="https://github.com/tapas-opendata/decreet-835-mun/raw/master/transport/vehicles/vehicles.xlsx" TargetMode="External"/><Relationship Id="rId18" Type="http://schemas.openxmlformats.org/officeDocument/2006/relationships/hyperlink" Target="https://data.gov.ua/dataset/9b95e684-aa41-4808-9ea5-82fbaf82ee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