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видані будівельні паспорти</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w:t>
            </w:r>
            <w:hyperlink r:id="rId7">
              <w:r w:rsidDel="00000000" w:rsidR="00000000" w:rsidRPr="00000000">
                <w:rPr>
                  <w:color w:val="1155cc"/>
                  <w:u w:val="single"/>
                  <w:rtl w:val="0"/>
                </w:rPr>
                <w:t xml:space="preserve">Наказ Мінрегіону України «Про затвердження Порядку видачі будівельного паспорта забудови земельної ділянки» від 05.07.2011 № 103</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Форма будівельного паспорта, затверджена Наказом Мінрегіону України від 05.07.2011 № 103. Дані про видані будівельні паспорти вносяться до журналу реєстрації та містобудівного кадастру.</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Затвердження, зміна та скасування будівельних паспортів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 або векторних геопросторових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Форма будівельного паспорта визначена додатком 2 до Порядку, затвердженого </w:t>
      </w:r>
      <w:hyperlink r:id="rId8">
        <w:r w:rsidDel="00000000" w:rsidR="00000000" w:rsidRPr="00000000">
          <w:rPr>
            <w:color w:val="1155cc"/>
            <w:u w:val="single"/>
            <w:rtl w:val="0"/>
          </w:rPr>
          <w:t xml:space="preserve">Наказом Мінрегіону України від 05.07.2011 № 103</w:t>
        </w:r>
      </w:hyperlink>
      <w:r w:rsidDel="00000000" w:rsidR="00000000" w:rsidRPr="00000000">
        <w:rPr>
          <w:rtl w:val="0"/>
        </w:rPr>
        <w:t xml:space="preserve">. </w:t>
      </w:r>
      <w:r w:rsidDel="00000000" w:rsidR="00000000" w:rsidRPr="00000000">
        <w:rPr>
          <w:rtl w:val="0"/>
        </w:rPr>
        <w:t xml:space="preserve">Відповідно до пункту 2.14 Порядку,</w:t>
      </w:r>
      <w:r w:rsidDel="00000000" w:rsidR="00000000" w:rsidRPr="00000000">
        <w:rPr>
          <w:rtl w:val="0"/>
        </w:rPr>
        <w:t xml:space="preserve"> уповноважений орган вносить відомості про виданий будівельний  паспорт до журналу реєстрації, а також зберігає електронний витяг у базі даних містобудівного кадастру. Структура журналу й електронного витягу не визначені на центральному рівні. Як правило, дані систематизуються в таблицях, подібних за структурою до реєстру містобудівних умов та обмежень.</w:t>
      </w:r>
      <w:r w:rsidDel="00000000" w:rsidR="00000000" w:rsidRPr="00000000">
        <w:rPr>
          <w:rtl w:val="0"/>
        </w:rPr>
      </w:r>
    </w:p>
    <w:p w:rsidR="00000000" w:rsidDel="00000000" w:rsidP="00000000" w:rsidRDefault="00000000" w:rsidRPr="00000000" w14:paraId="00000013">
      <w:pPr>
        <w:pStyle w:val="Heading1"/>
        <w:spacing w:after="200" w:lineRule="auto"/>
        <w:rPr/>
      </w:pPr>
      <w:bookmarkStart w:colFirst="0" w:colLast="0" w:name="_no1kgqenz9bp"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line="276" w:lineRule="auto"/>
        <w:rPr/>
      </w:pPr>
      <w:bookmarkStart w:colFirst="0" w:colLast="0" w:name="_2xdq52dt3z52" w:id="4"/>
      <w:bookmarkEnd w:id="4"/>
      <w:r w:rsidDel="00000000" w:rsidR="00000000" w:rsidRPr="00000000">
        <w:rPr>
          <w:rtl w:val="0"/>
        </w:rPr>
        <w:t xml:space="preserve">3.1. Оприлюднення даних містобудівного кадастру</w:t>
      </w:r>
    </w:p>
    <w:p w:rsidR="00000000" w:rsidDel="00000000" w:rsidP="00000000" w:rsidRDefault="00000000" w:rsidRPr="00000000" w14:paraId="00000015">
      <w:pPr>
        <w:spacing w:after="200" w:line="276" w:lineRule="auto"/>
        <w:rPr/>
      </w:pPr>
      <w:r w:rsidDel="00000000" w:rsidR="00000000" w:rsidRPr="00000000">
        <w:rPr>
          <w:rtl w:val="0"/>
        </w:rPr>
        <w:t xml:space="preserve">Якщо електронні витяги паспортів вносяться до геоінформаційної системи містобудівного кадастру, необхідно експортувати дані у відкритих машиночитаних форматах (CSV, JSON, XML) або форматах, які підтримують векторну графіку (SHP, GeoJSON, MID/MIF тощо). Просторові дані набору можуть бути представлені географічними координатами точок або полігонів. Можливою є також публікація даних через інтерфейс прикладного програмування (server-side web API) системи. Для забезпечення повноти даних необхідно включити до структури набору всі атрибути (поля), передбачені Таблицею 1.</w:t>
      </w:r>
    </w:p>
    <w:p w:rsidR="00000000" w:rsidDel="00000000" w:rsidP="00000000" w:rsidRDefault="00000000" w:rsidRPr="00000000" w14:paraId="00000016">
      <w:pPr>
        <w:pStyle w:val="Heading2"/>
        <w:spacing w:line="276" w:lineRule="auto"/>
        <w:rPr>
          <w:sz w:val="40"/>
          <w:szCs w:val="40"/>
        </w:rPr>
      </w:pPr>
      <w:bookmarkStart w:colFirst="0" w:colLast="0" w:name="_8be387x2k9jw" w:id="5"/>
      <w:bookmarkEnd w:id="5"/>
      <w:r w:rsidDel="00000000" w:rsidR="00000000" w:rsidRPr="00000000">
        <w:rPr>
          <w:rtl w:val="0"/>
        </w:rPr>
        <w:t xml:space="preserve">3.2. Оприлюднення даних у формі таблиць</w:t>
      </w: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Один виданий будівельний паспорт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Розміщення нової версії ресурсу. Можливе створення нового ресурсу щокварталу або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hyperlink r:id="rId9">
              <w:r w:rsidDel="00000000" w:rsidR="00000000" w:rsidRPr="00000000">
                <w:rPr>
                  <w:color w:val="1155cc"/>
                  <w:u w:val="single"/>
                  <w:rtl w:val="0"/>
                </w:rPr>
                <w:t xml:space="preserve">Register.xlsx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hyperlink r:id="rId10">
              <w:r w:rsidDel="00000000" w:rsidR="00000000" w:rsidRPr="00000000">
                <w:rPr>
                  <w:color w:val="1155cc"/>
                  <w:u w:val="single"/>
                  <w:rtl w:val="0"/>
                </w:rPr>
                <w:t xml:space="preserve">Example</w:t>
              </w:r>
            </w:hyperlink>
            <w:hyperlink r:id="rId1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2">
              <w:r w:rsidDel="00000000" w:rsidR="00000000" w:rsidRPr="00000000">
                <w:rPr>
                  <w:color w:val="1155cc"/>
                  <w:u w:val="single"/>
                  <w:rtl w:val="0"/>
                </w:rPr>
                <w:t xml:space="preserve">Structure.xlsx</w:t>
              </w:r>
            </w:hyperlink>
            <w:r w:rsidDel="00000000" w:rsidR="00000000" w:rsidRPr="00000000">
              <w:rPr>
                <w:rtl w:val="0"/>
              </w:rPr>
              <w:t xml:space="preserve">, </w:t>
            </w:r>
            <w:hyperlink r:id="rId13">
              <w:r w:rsidDel="00000000" w:rsidR="00000000" w:rsidRPr="00000000">
                <w:rPr>
                  <w:color w:val="1155cc"/>
                  <w:u w:val="single"/>
                  <w:rtl w:val="0"/>
                </w:rPr>
                <w:t xml:space="preserve">Structure.csv,</w:t>
              </w:r>
            </w:hyperlink>
            <w:r w:rsidDel="00000000" w:rsidR="00000000" w:rsidRPr="00000000">
              <w:rPr>
                <w:rtl w:val="0"/>
              </w:rPr>
              <w:t xml:space="preserve"> </w:t>
            </w:r>
            <w:hyperlink r:id="rId1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7">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у форматі JSON через </w:t>
            </w:r>
            <w:hyperlink r:id="rId15">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after="200" w:line="276" w:lineRule="auto"/>
        <w:jc w:val="center"/>
        <w:rPr>
          <w:b w:val="1"/>
        </w:rPr>
      </w:pPr>
      <w:r w:rsidDel="00000000" w:rsidR="00000000" w:rsidRPr="00000000">
        <w:rPr>
          <w:b w:val="1"/>
          <w:rtl w:val="0"/>
        </w:rPr>
        <w:t xml:space="preserve">Таблиця 1 — Структура таблиці (ресурсу) Register</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Реєстраційний номер будівельного паспорта. Наприклад: 2019-345/п.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orderIssued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Дата видачі</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Дата видачі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Назва уповноваженого органу. Наприклад: Департамент містобудування та архітектури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Код ЄДРПОУ уповноваженого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Ім'я або назва замовника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Прізвище, ім’я, по батькові або назва юридичної особи замовника. Наприклад: Супрун Олександр Іванович.</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applicantIdentifier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Ідентифікатор замовника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Код ЄДРПОУ замовника. Наприклад: 01234567. У випадку фізичних осіб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type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Вид будівництва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Вид будівництва відповідно до Наказу Мінрегіону України від 16.05.2011 № 45: Нове будівництво, Реконструкція, Реставрація, Капітальний ремонт.</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Назва об'єкта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Назва об'єкта будівництва. Наприклад: Житловий будинок.</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parcelNumber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Кадастровий номер</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Кадастровий номер земельної ділянки, на якій розміщується об’єкт будівництва. Наприклад: 12345678901:01:012:0123.</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Поштовий індекс адреси об'єкта будівництва.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Назва держави.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Назва регіону, де розміщений об’єкт будівництва.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де розміщений об’єкт.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Номер об’єкта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Номер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Номер корпусу зазначається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Хибність (false)</w:t>
            </w:r>
          </w:p>
        </w:tc>
      </w:tr>
      <w:tr>
        <w:trPr>
          <w:trHeight w:val="21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Статус</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Статус будівельного паспорта може мати одне зі значень: Чинний, Чинний зі змінами, Втратив чинність, Скасований, Чинність відновлено. Наприклад: Чинний.</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status</w:t>
            </w:r>
            <w:r w:rsidDel="00000000" w:rsidR="00000000" w:rsidRPr="00000000">
              <w:rPr>
                <w:rtl w:val="0"/>
              </w:rPr>
              <w:t xml:space="preserve">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Підстава зміни статусу</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Інформація про підставу для зміни статусу документа. Наприклад: Наказ Департаменту містобудування та архітектури Дніпровської міської ради № 234 від 12.03.2019. Якщо зміни відсутні,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Хибність (false)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spacing w:line="276" w:lineRule="auto"/>
              <w:rPr/>
            </w:pPr>
            <w:r w:rsidDel="00000000" w:rsidR="00000000" w:rsidRPr="00000000">
              <w:rPr>
                <w:rtl w:val="0"/>
              </w:rPr>
              <w:t xml:space="preserve">Посилання на копію будівельного паспорта, оприлюднену в мережі Інтернет (URL). Посилання має починатися з http:// або https://. Наприклад: https://www.example.gov.ua/example/.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94">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96">
      <w:pPr>
        <w:spacing w:after="200" w:line="276" w:lineRule="auto"/>
        <w:rPr/>
      </w:pPr>
      <w:r w:rsidDel="00000000" w:rsidR="00000000" w:rsidRPr="00000000">
        <w:rPr>
          <w:rtl w:val="0"/>
        </w:rPr>
      </w:r>
    </w:p>
    <w:p w:rsidR="00000000" w:rsidDel="00000000" w:rsidP="00000000" w:rsidRDefault="00000000" w:rsidRPr="00000000" w14:paraId="00000097">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98">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9">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A">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9B">
            <w:pPr>
              <w:widowControl w:val="0"/>
              <w:spacing w:line="276" w:lineRule="auto"/>
              <w:rPr/>
            </w:pPr>
            <w:r w:rsidDel="00000000" w:rsidR="00000000" w:rsidRPr="00000000">
              <w:rPr>
                <w:rtl w:val="0"/>
              </w:rPr>
              <w:t xml:space="preserve">Дані про видані будівельні паспорти </w:t>
            </w:r>
          </w:p>
        </w:tc>
      </w:tr>
      <w:tr>
        <w:trPr>
          <w:trHeight w:val="20" w:hRule="atLeast"/>
        </w:trPr>
        <w:tc>
          <w:tcPr/>
          <w:p w:rsidR="00000000" w:rsidDel="00000000" w:rsidP="00000000" w:rsidRDefault="00000000" w:rsidRPr="00000000" w14:paraId="0000009C">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9D">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9E">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9F">
            <w:pPr>
              <w:widowControl w:val="0"/>
              <w:spacing w:line="276" w:lineRule="auto"/>
              <w:rPr/>
            </w:pPr>
            <w:r w:rsidDel="00000000" w:rsidR="00000000" w:rsidRPr="00000000">
              <w:rPr>
                <w:rtl w:val="0"/>
              </w:rPr>
              <w:t xml:space="preserve">Щ</w:t>
            </w:r>
            <w:r w:rsidDel="00000000" w:rsidR="00000000" w:rsidRPr="00000000">
              <w:rPr>
                <w:rtl w:val="0"/>
              </w:rPr>
              <w:t xml:space="preserve">отижня</w:t>
            </w:r>
          </w:p>
        </w:tc>
      </w:tr>
      <w:tr>
        <w:tc>
          <w:tcPr/>
          <w:p w:rsidR="00000000" w:rsidDel="00000000" w:rsidP="00000000" w:rsidRDefault="00000000" w:rsidRPr="00000000" w14:paraId="000000A0">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1">
            <w:pPr>
              <w:widowControl w:val="0"/>
              <w:spacing w:line="276" w:lineRule="auto"/>
              <w:rPr/>
            </w:pPr>
            <w:r w:rsidDel="00000000" w:rsidR="00000000" w:rsidRPr="00000000">
              <w:rPr>
                <w:rtl w:val="0"/>
              </w:rPr>
              <w:t xml:space="preserve">Набір містить перелік будівельних паспортів забудови земельної ділянки, виданих Департаментом містобудування та архітектури Дніпровської міської ради. Зокрема, інформацію про замовників, уповноважений орган, видані документи, об’єкти будівництва тощо.</w:t>
            </w:r>
          </w:p>
        </w:tc>
      </w:tr>
      <w:tr>
        <w:trPr>
          <w:trHeight w:val="180" w:hRule="atLeast"/>
        </w:trPr>
        <w:tc>
          <w:tcPr/>
          <w:p w:rsidR="00000000" w:rsidDel="00000000" w:rsidP="00000000" w:rsidRDefault="00000000" w:rsidRPr="00000000" w14:paraId="000000A2">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3">
            <w:pPr>
              <w:widowControl w:val="0"/>
              <w:spacing w:line="276" w:lineRule="auto"/>
              <w:rPr/>
            </w:pPr>
            <w:r w:rsidDel="00000000" w:rsidR="00000000" w:rsidRPr="00000000">
              <w:rPr>
                <w:rtl w:val="0"/>
              </w:rPr>
              <w:t xml:space="preserve">Закон України «Про регулювання містобудівної діяльності» від 17.02.2011 № 3038-VI, Наказ Мінрегіону України «Про затвердження Порядку видачі будівельного паспорта забудови земельної ділянки» від 05.07.2011 № 103</w:t>
            </w:r>
          </w:p>
        </w:tc>
      </w:tr>
      <w:tr>
        <w:trPr>
          <w:trHeight w:val="120" w:hRule="atLeast"/>
        </w:trPr>
        <w:tc>
          <w:tcPr/>
          <w:p w:rsidR="00000000" w:rsidDel="00000000" w:rsidP="00000000" w:rsidRDefault="00000000" w:rsidRPr="00000000" w14:paraId="000000A4">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A5">
            <w:pPr>
              <w:widowControl w:val="0"/>
              <w:spacing w:line="276" w:lineRule="auto"/>
              <w:rPr/>
            </w:pPr>
            <w:r w:rsidDel="00000000" w:rsidR="00000000" w:rsidRPr="00000000">
              <w:rPr>
                <w:rtl w:val="0"/>
              </w:rPr>
              <w:t xml:space="preserve">проектування, містобудування, будівництво, забудова, ділянка, паспорти, будівельні паспорти</w:t>
            </w:r>
          </w:p>
        </w:tc>
      </w:tr>
      <w:tr>
        <w:trPr>
          <w:trHeight w:val="460" w:hRule="atLeast"/>
        </w:trPr>
        <w:tc>
          <w:tcPr/>
          <w:p w:rsidR="00000000" w:rsidDel="00000000" w:rsidP="00000000" w:rsidRDefault="00000000" w:rsidRPr="00000000" w14:paraId="000000A6">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A7">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A8">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AA">
      <w:pPr>
        <w:spacing w:after="200" w:line="276" w:lineRule="auto"/>
        <w:jc w:val="center"/>
        <w:rPr/>
      </w:pPr>
      <w:r w:rsidDel="00000000" w:rsidR="00000000" w:rsidRPr="00000000">
        <w:rPr>
          <w:rtl w:val="0"/>
        </w:rPr>
      </w:r>
    </w:p>
    <w:p w:rsidR="00000000" w:rsidDel="00000000" w:rsidP="00000000" w:rsidRDefault="00000000" w:rsidRPr="00000000" w14:paraId="000000AB">
      <w:pPr>
        <w:spacing w:after="200" w:line="276" w:lineRule="auto"/>
        <w:jc w:val="center"/>
        <w:rPr>
          <w:b w:val="1"/>
        </w:rPr>
      </w:pPr>
      <w:r w:rsidDel="00000000" w:rsidR="00000000" w:rsidRPr="00000000">
        <w:rPr>
          <w:b w:val="1"/>
          <w:rtl w:val="0"/>
        </w:rPr>
        <w:t xml:space="preserve">Таблиця 3 — Приклад паспорта ресурсу Register </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AC">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D">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E">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AF">
            <w:pPr>
              <w:spacing w:line="276" w:lineRule="auto"/>
              <w:rPr/>
            </w:pPr>
            <w:r w:rsidDel="00000000" w:rsidR="00000000" w:rsidRPr="00000000">
              <w:rPr>
                <w:rtl w:val="0"/>
              </w:rPr>
              <w:t xml:space="preserve">Register.xlsx</w:t>
            </w:r>
          </w:p>
        </w:tc>
      </w:tr>
      <w:tr>
        <w:tc>
          <w:tcPr/>
          <w:p w:rsidR="00000000" w:rsidDel="00000000" w:rsidP="00000000" w:rsidRDefault="00000000" w:rsidRPr="00000000" w14:paraId="000000B0">
            <w:pPr>
              <w:spacing w:line="276" w:lineRule="auto"/>
              <w:rPr/>
            </w:pPr>
            <w:r w:rsidDel="00000000" w:rsidR="00000000" w:rsidRPr="00000000">
              <w:rPr>
                <w:rtl w:val="0"/>
              </w:rPr>
              <w:t xml:space="preserve">Опис</w:t>
            </w:r>
          </w:p>
        </w:tc>
        <w:tc>
          <w:tcPr/>
          <w:p w:rsidR="00000000" w:rsidDel="00000000" w:rsidP="00000000" w:rsidRDefault="00000000" w:rsidRPr="00000000" w14:paraId="000000B1">
            <w:pPr>
              <w:widowControl w:val="0"/>
              <w:spacing w:line="276" w:lineRule="auto"/>
              <w:rPr/>
            </w:pPr>
            <w:r w:rsidDel="00000000" w:rsidR="00000000" w:rsidRPr="00000000">
              <w:rPr>
                <w:rtl w:val="0"/>
              </w:rPr>
              <w:t xml:space="preserve">Таблиця містить реєстраційні номери, дати видачі будівельних паспортів, назви, адреси об’єктів будівництва, інформацію про замовників, уповноважений орган, підстави для змін або скасування документів. Кожним записом у таблиці є один будівельний паспорт.</w:t>
            </w:r>
          </w:p>
        </w:tc>
      </w:tr>
      <w:tr>
        <w:trPr>
          <w:trHeight w:val="160" w:hRule="atLeast"/>
        </w:trPr>
        <w:tc>
          <w:tcPr/>
          <w:p w:rsidR="00000000" w:rsidDel="00000000" w:rsidP="00000000" w:rsidRDefault="00000000" w:rsidRPr="00000000" w14:paraId="000000B2">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3">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B4">
      <w:pPr>
        <w:spacing w:before="0"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urban/building-passports/Example.xlsx" TargetMode="External"/><Relationship Id="rId10" Type="http://schemas.openxmlformats.org/officeDocument/2006/relationships/hyperlink" Target="https://github.com/tapas-opendata/decreet-835-mun/raw/master/urban/building-passports/Example.xlsx" TargetMode="External"/><Relationship Id="rId13" Type="http://schemas.openxmlformats.org/officeDocument/2006/relationships/hyperlink" Target="https://raw.githubusercontent.com/tapas-opendata/decreet-835-mun/master/urban/building-passports/Structure.csv" TargetMode="External"/><Relationship Id="rId12" Type="http://schemas.openxmlformats.org/officeDocument/2006/relationships/hyperlink" Target="https://github.com/tapas-opendata/decreet-835-mun/raw/master/urban/building-passports/Structur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pas-opendata/decreet-835-mun/raw/master/urban/building-passports/Register.xlsx" TargetMode="External"/><Relationship Id="rId15" Type="http://schemas.openxmlformats.org/officeDocument/2006/relationships/hyperlink" Target="https://docs.ckan.org/en/latest/maintaining/datastore.html" TargetMode="External"/><Relationship Id="rId14" Type="http://schemas.openxmlformats.org/officeDocument/2006/relationships/hyperlink" Target="https://raw.githubusercontent.com/tapas-opendata/decreet-835-mun/master/urban/building-passports/Structure.json" TargetMode="External"/><Relationship Id="rId5" Type="http://schemas.openxmlformats.org/officeDocument/2006/relationships/styles" Target="styles.xml"/><Relationship Id="rId6" Type="http://schemas.openxmlformats.org/officeDocument/2006/relationships/hyperlink" Target="https://zakon.rada.gov.ua/laws/show/3038-17" TargetMode="External"/><Relationship Id="rId7" Type="http://schemas.openxmlformats.org/officeDocument/2006/relationships/hyperlink" Target="https://zakon.rada.gov.ua/laws/show/z0902-11" TargetMode="External"/><Relationship Id="rId8" Type="http://schemas.openxmlformats.org/officeDocument/2006/relationships/hyperlink" Target="https://zakon.rada.gov.ua/laws/show/z09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