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fqr9lc8u39wo" w:id="0"/>
      <w:bookmarkEnd w:id="0"/>
      <w:r w:rsidDel="00000000" w:rsidR="00000000" w:rsidRPr="00000000">
        <w:rPr>
          <w:rtl w:val="0"/>
        </w:rPr>
        <w:t xml:space="preserve">Дані про надані містобудівні умови та обмеження</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0" w:line="276" w:lineRule="auto"/>
              <w:rPr/>
            </w:pPr>
            <w:hyperlink r:id="rId6">
              <w:r w:rsidDel="00000000" w:rsidR="00000000" w:rsidRPr="00000000">
                <w:rPr>
                  <w:color w:val="1155cc"/>
                  <w:u w:val="single"/>
                  <w:rtl w:val="0"/>
                </w:rPr>
                <w:t xml:space="preserve">Закон України «Про регулювання містобудівної діяльності» від 17.02.2011 № 3038-VI</w:t>
              </w:r>
            </w:hyperlink>
            <w:r w:rsidDel="00000000" w:rsidR="00000000" w:rsidRPr="00000000">
              <w:rPr>
                <w:rtl w:val="0"/>
              </w:rPr>
              <w:t xml:space="preserve">, </w:t>
            </w:r>
            <w:hyperlink r:id="rId7">
              <w:r w:rsidDel="00000000" w:rsidR="00000000" w:rsidRPr="00000000">
                <w:rPr>
                  <w:color w:val="1155cc"/>
                  <w:u w:val="single"/>
                  <w:rtl w:val="0"/>
                </w:rPr>
                <w:t xml:space="preserve">Наказ Мінрегіону України «Про затвердження Порядку ведення реєстру містобудівних умов та обмежень» від 31.05.2017 № 135</w:t>
              </w:r>
            </w:hyperlink>
            <w:r w:rsidDel="00000000" w:rsidR="00000000" w:rsidRPr="00000000">
              <w:rPr>
                <w:rtl w:val="0"/>
              </w:rPr>
              <w:t xml:space="preserve">, </w:t>
            </w:r>
            <w:hyperlink r:id="rId8">
              <w:r w:rsidDel="00000000" w:rsidR="00000000" w:rsidRPr="00000000">
                <w:rPr>
                  <w:color w:val="1155cc"/>
                  <w:u w:val="single"/>
                  <w:rtl w:val="0"/>
                </w:rPr>
                <w:t xml:space="preserve">Наказ Мінрегіону України «Про затвердження Переліку об'єктів будівництва, для проектування яких містобудівні умови та обмеження не надаються» від 06.11.2017 № 289</w:t>
              </w:r>
            </w:hyperlink>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Реєстр наданих містобудівних умов та обмежень ведеться уповноваженим органом відповідно до положень статті 29 Закону України «Про регулювання містобудівної діяльності» та Наказу Мінрегіону України від 31.05.2017 № 135.</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Затвердження, зміна та скасування містобудівних умов та обмежень</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Позапланово (протягом трьох робочих днів з моменту внесення змін) або не рідше ніж щомісяця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 геопросторові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 або векторних геопросторових даних</w:t>
            </w:r>
          </w:p>
        </w:tc>
      </w:tr>
    </w:tbl>
    <w:p w:rsidR="00000000" w:rsidDel="00000000" w:rsidP="00000000" w:rsidRDefault="00000000" w:rsidRPr="00000000" w14:paraId="00000011">
      <w:pPr>
        <w:pStyle w:val="Heading1"/>
        <w:spacing w:line="276" w:lineRule="auto"/>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276" w:lineRule="auto"/>
        <w:rPr/>
      </w:pPr>
      <w:r w:rsidDel="00000000" w:rsidR="00000000" w:rsidRPr="00000000">
        <w:rPr>
          <w:rtl w:val="0"/>
        </w:rPr>
        <w:t xml:space="preserve">Пункт 5 статті 29 </w:t>
      </w:r>
      <w:hyperlink r:id="rId9">
        <w:r w:rsidDel="00000000" w:rsidR="00000000" w:rsidRPr="00000000">
          <w:rPr>
            <w:color w:val="1155cc"/>
            <w:u w:val="single"/>
            <w:rtl w:val="0"/>
          </w:rPr>
          <w:t xml:space="preserve">Закону України «Про регулювання містобудівної діяльності»</w:t>
        </w:r>
      </w:hyperlink>
      <w:r w:rsidDel="00000000" w:rsidR="00000000" w:rsidRPr="00000000">
        <w:rPr>
          <w:rtl w:val="0"/>
        </w:rPr>
        <w:t xml:space="preserve"> визначає зміст містобудівних умов та обмежень. Відповідно до пункту 7 статті 29 цього ж закону уповноважений орган містобудування та архітектури вносить відомості про </w:t>
      </w:r>
      <w:r w:rsidDel="00000000" w:rsidR="00000000" w:rsidRPr="00000000">
        <w:rPr>
          <w:rtl w:val="0"/>
        </w:rPr>
        <w:t xml:space="preserve">надані</w:t>
      </w:r>
      <w:r w:rsidDel="00000000" w:rsidR="00000000" w:rsidRPr="00000000">
        <w:rPr>
          <w:rtl w:val="0"/>
        </w:rPr>
        <w:t xml:space="preserve"> містобудівні умови й обмеження до відповідного реєстру. Структура порядок ведення та доступу до реєстру визначені </w:t>
      </w:r>
      <w:hyperlink r:id="rId10">
        <w:r w:rsidDel="00000000" w:rsidR="00000000" w:rsidRPr="00000000">
          <w:rPr>
            <w:color w:val="1155cc"/>
            <w:u w:val="single"/>
            <w:rtl w:val="0"/>
          </w:rPr>
          <w:t xml:space="preserve">Наказом Мінрегіону України від 31.05.2017 № 135</w:t>
        </w:r>
      </w:hyperlink>
      <w:r w:rsidDel="00000000" w:rsidR="00000000" w:rsidRPr="00000000">
        <w:rPr>
          <w:rtl w:val="0"/>
        </w:rPr>
        <w:t xml:space="preserve">.</w:t>
      </w:r>
    </w:p>
    <w:p w:rsidR="00000000" w:rsidDel="00000000" w:rsidP="00000000" w:rsidRDefault="00000000" w:rsidRPr="00000000" w14:paraId="00000013">
      <w:pPr>
        <w:spacing w:after="200" w:line="276" w:lineRule="auto"/>
        <w:rPr/>
      </w:pPr>
      <w:r w:rsidDel="00000000" w:rsidR="00000000" w:rsidRPr="00000000">
        <w:rPr>
          <w:rtl w:val="0"/>
        </w:rPr>
      </w:r>
    </w:p>
    <w:p w:rsidR="00000000" w:rsidDel="00000000" w:rsidP="00000000" w:rsidRDefault="00000000" w:rsidRPr="00000000" w14:paraId="00000014">
      <w:pPr>
        <w:pStyle w:val="Heading1"/>
        <w:spacing w:after="200" w:lineRule="auto"/>
        <w:rPr/>
      </w:pPr>
      <w:bookmarkStart w:colFirst="0" w:colLast="0" w:name="_1o0n2rn5155q"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5">
      <w:pPr>
        <w:pStyle w:val="Heading2"/>
        <w:rPr/>
      </w:pPr>
      <w:bookmarkStart w:colFirst="0" w:colLast="0" w:name="_2xdq52dt3z52" w:id="4"/>
      <w:bookmarkEnd w:id="4"/>
      <w:r w:rsidDel="00000000" w:rsidR="00000000" w:rsidRPr="00000000">
        <w:rPr>
          <w:rtl w:val="0"/>
        </w:rPr>
        <w:t xml:space="preserve">3.1. Оприлюднення даних містобудівного кадастру</w:t>
      </w:r>
    </w:p>
    <w:p w:rsidR="00000000" w:rsidDel="00000000" w:rsidP="00000000" w:rsidRDefault="00000000" w:rsidRPr="00000000" w14:paraId="00000016">
      <w:pPr>
        <w:spacing w:after="200" w:lineRule="auto"/>
        <w:rPr/>
      </w:pPr>
      <w:r w:rsidDel="00000000" w:rsidR="00000000" w:rsidRPr="00000000">
        <w:rPr>
          <w:rtl w:val="0"/>
        </w:rPr>
        <w:t xml:space="preserve">Якщо містобудівні умови та обмеження вносяться до геоінформаційної системи містобудівного кадастру, необхідно експортувати дані у відкритих машиночитаних форматах (CSV, JSON, XML) або форматах, які підтримують векторну графіку (SHP, GeoJSON, MID/MIF тощо). Просторові дані набору можуть бути представлені географічними координатами точок або полігонів. Можливою є також публікація даних через інтерфейс прикладного програмування (server-side web API) системи. Для забезпечення повноти даних необхідно включити до структури набору всі атрибути (поля), передбачені Таблицею 1.</w:t>
      </w:r>
    </w:p>
    <w:p w:rsidR="00000000" w:rsidDel="00000000" w:rsidP="00000000" w:rsidRDefault="00000000" w:rsidRPr="00000000" w14:paraId="00000017">
      <w:pPr>
        <w:pStyle w:val="Heading2"/>
        <w:rPr>
          <w:sz w:val="40"/>
          <w:szCs w:val="40"/>
        </w:rPr>
      </w:pPr>
      <w:bookmarkStart w:colFirst="0" w:colLast="0" w:name="_8be387x2k9jw" w:id="5"/>
      <w:bookmarkEnd w:id="5"/>
      <w:r w:rsidDel="00000000" w:rsidR="00000000" w:rsidRPr="00000000">
        <w:rPr>
          <w:rtl w:val="0"/>
        </w:rPr>
        <w:t xml:space="preserve">3.2. Оприлюднення даних у формі таблиць</w:t>
      </w: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Register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pPr>
            <w:r w:rsidDel="00000000" w:rsidR="00000000" w:rsidRPr="00000000">
              <w:rPr>
                <w:rtl w:val="0"/>
              </w:rPr>
              <w:t xml:space="preserve">Одні містобудівні умови та обмеження </w:t>
            </w:r>
          </w:p>
          <w:p w:rsidR="00000000" w:rsidDel="00000000" w:rsidP="00000000" w:rsidRDefault="00000000" w:rsidRPr="00000000" w14:paraId="0000001E">
            <w:pPr>
              <w:widowControl w:val="0"/>
              <w:spacing w:line="276" w:lineRule="auto"/>
              <w:rPr/>
            </w:pPr>
            <w:r w:rsidDel="00000000" w:rsidR="00000000" w:rsidRPr="00000000">
              <w:rPr>
                <w:rtl w:val="0"/>
              </w:rPr>
              <w:t xml:space="preserve">для проектування об’єкта будівництва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Розміщення нової версії ресурсу. Можливе створення нового ресурсу щокварталу або щороку.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pPr>
            <w:hyperlink r:id="rId11">
              <w:r w:rsidDel="00000000" w:rsidR="00000000" w:rsidRPr="00000000">
                <w:rPr>
                  <w:color w:val="1155cc"/>
                  <w:u w:val="single"/>
                  <w:rtl w:val="0"/>
                </w:rPr>
                <w:t xml:space="preserve">Register.xlsx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rPr/>
            </w:pPr>
            <w:hyperlink r:id="rId12">
              <w:r w:rsidDel="00000000" w:rsidR="00000000" w:rsidRPr="00000000">
                <w:rPr>
                  <w:color w:val="1155cc"/>
                  <w:u w:val="single"/>
                  <w:rtl w:val="0"/>
                </w:rPr>
                <w:t xml:space="preserve">Example</w:t>
              </w:r>
            </w:hyperlink>
            <w:hyperlink r:id="rId13">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rPr/>
            </w:pPr>
            <w:hyperlink r:id="rId14">
              <w:r w:rsidDel="00000000" w:rsidR="00000000" w:rsidRPr="00000000">
                <w:rPr>
                  <w:color w:val="1155cc"/>
                  <w:u w:val="single"/>
                  <w:rtl w:val="0"/>
                </w:rPr>
                <w:t xml:space="preserve">Structure.xlsx</w:t>
              </w:r>
            </w:hyperlink>
            <w:r w:rsidDel="00000000" w:rsidR="00000000" w:rsidRPr="00000000">
              <w:rPr>
                <w:rtl w:val="0"/>
              </w:rPr>
              <w:t xml:space="preserve">, </w:t>
            </w:r>
            <w:hyperlink r:id="rId15">
              <w:r w:rsidDel="00000000" w:rsidR="00000000" w:rsidRPr="00000000">
                <w:rPr>
                  <w:color w:val="1155cc"/>
                  <w:u w:val="single"/>
                  <w:rtl w:val="0"/>
                </w:rPr>
                <w:t xml:space="preserve">Structure.csv</w:t>
              </w:r>
            </w:hyperlink>
            <w:r w:rsidDel="00000000" w:rsidR="00000000" w:rsidRPr="00000000">
              <w:rPr>
                <w:rtl w:val="0"/>
              </w:rPr>
              <w:t xml:space="preserve">, </w:t>
            </w:r>
            <w:hyperlink r:id="rId16">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9">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у форматі JSON через </w:t>
            </w:r>
            <w:hyperlink r:id="rId17">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B">
      <w:pPr>
        <w:spacing w:line="276" w:lineRule="auto"/>
        <w:rPr>
          <w:b w:val="1"/>
        </w:rPr>
      </w:pPr>
      <w:r w:rsidDel="00000000" w:rsidR="00000000" w:rsidRPr="00000000">
        <w:rPr>
          <w:rtl w:val="0"/>
        </w:rPr>
      </w:r>
    </w:p>
    <w:p w:rsidR="00000000" w:rsidDel="00000000" w:rsidP="00000000" w:rsidRDefault="00000000" w:rsidRPr="00000000" w14:paraId="0000002C">
      <w:pPr>
        <w:spacing w:after="200" w:before="0" w:line="276" w:lineRule="auto"/>
        <w:jc w:val="center"/>
        <w:rPr>
          <w:b w:val="1"/>
        </w:rPr>
      </w:pPr>
      <w:r w:rsidDel="00000000" w:rsidR="00000000" w:rsidRPr="00000000">
        <w:rPr>
          <w:b w:val="1"/>
          <w:rtl w:val="0"/>
        </w:rPr>
        <w:t xml:space="preserve">Таблиця 1 — Структура таблиці (ресурсу) Register</w:t>
      </w:r>
    </w:p>
    <w:tbl>
      <w:tblPr>
        <w:tblStyle w:val="Table4"/>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695"/>
        <w:gridCol w:w="3060"/>
        <w:gridCol w:w="1365"/>
        <w:gridCol w:w="1545"/>
        <w:tblGridChange w:id="0">
          <w:tblGrid>
            <w:gridCol w:w="1380"/>
            <w:gridCol w:w="1695"/>
            <w:gridCol w:w="3060"/>
            <w:gridCol w:w="1365"/>
            <w:gridCol w:w="1545"/>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D">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spacing w:line="276" w:lineRule="auto"/>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spacing w:line="276" w:lineRule="auto"/>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spacing w:line="276" w:lineRule="auto"/>
              <w:rPr/>
            </w:pPr>
            <w:r w:rsidDel="00000000" w:rsidR="00000000" w:rsidRPr="00000000">
              <w:rPr>
                <w:rtl w:val="0"/>
              </w:rPr>
              <w:t xml:space="preserve">Ідентифікатор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spacing w:line="276" w:lineRule="auto"/>
              <w:rPr/>
            </w:pPr>
            <w:r w:rsidDel="00000000" w:rsidR="00000000" w:rsidRPr="00000000">
              <w:rPr>
                <w:rtl w:val="0"/>
              </w:rPr>
              <w:t xml:space="preserve">Номер або будь-який інший ідентифікатор містобудівних умов та обмежень. Наприклад: 123.</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5">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6">
            <w:pPr>
              <w:widowControl w:val="0"/>
              <w:spacing w:line="276" w:lineRule="auto"/>
              <w:rPr/>
            </w:pPr>
            <w:r w:rsidDel="00000000" w:rsidR="00000000" w:rsidRPr="00000000">
              <w:rPr>
                <w:rtl w:val="0"/>
              </w:rPr>
              <w:t xml:space="preserve">Істина (true)</w:t>
            </w:r>
          </w:p>
        </w:tc>
      </w:tr>
      <w:tr>
        <w:trPr>
          <w:trHeight w:val="15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orderNumber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widowControl w:val="0"/>
              <w:spacing w:line="276" w:lineRule="auto"/>
              <w:rPr/>
            </w:pPr>
            <w:r w:rsidDel="00000000" w:rsidR="00000000" w:rsidRPr="00000000">
              <w:rPr>
                <w:rtl w:val="0"/>
              </w:rPr>
              <w:t xml:space="preserve">Номер наказу</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spacing w:line="276" w:lineRule="auto"/>
              <w:rPr/>
            </w:pPr>
            <w:r w:rsidDel="00000000" w:rsidR="00000000" w:rsidRPr="00000000">
              <w:rPr>
                <w:rtl w:val="0"/>
              </w:rPr>
              <w:t xml:space="preserve">Номер наказу про затвердження містобудівних умов та обмежень. Наприклад: 2018-20а.</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A">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B">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widowControl w:val="0"/>
              <w:spacing w:line="276" w:lineRule="auto"/>
              <w:rPr/>
            </w:pPr>
            <w:r w:rsidDel="00000000" w:rsidR="00000000" w:rsidRPr="00000000">
              <w:rPr>
                <w:rtl w:val="0"/>
              </w:rPr>
              <w:t xml:space="preserve">orderIssued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widowControl w:val="0"/>
              <w:spacing w:line="276" w:lineRule="auto"/>
              <w:rPr/>
            </w:pPr>
            <w:r w:rsidDel="00000000" w:rsidR="00000000" w:rsidRPr="00000000">
              <w:rPr>
                <w:rtl w:val="0"/>
              </w:rPr>
              <w:t xml:space="preserve">Дата видання наказу</w:t>
            </w:r>
          </w:p>
        </w:tc>
        <w:tc>
          <w:tcPr>
            <w:tcBorders>
              <w:top w:color="cccccc" w:space="0" w:sz="6" w:val="single"/>
              <w:left w:color="cccccc" w:space="0" w:sz="6" w:val="single"/>
              <w:bottom w:color="cccccc" w:space="0" w:sz="8" w:val="single"/>
              <w:right w:color="cccccc" w:space="0" w:sz="6"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Дата наказу у форматі ISO 8601 (рррр-мм-дд). Наприклад: 2014-05-30.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0">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1">
            <w:pPr>
              <w:widowControl w:val="0"/>
              <w:spacing w:line="276" w:lineRule="auto"/>
              <w:rPr/>
            </w:pPr>
            <w:r w:rsidDel="00000000" w:rsidR="00000000" w:rsidRPr="00000000">
              <w:rPr>
                <w:rtl w:val="0"/>
              </w:rPr>
              <w:t xml:space="preserve">authority</w:t>
            </w:r>
            <w:r w:rsidDel="00000000" w:rsidR="00000000" w:rsidRPr="00000000">
              <w:rPr>
                <w:rtl w:val="0"/>
              </w:rPr>
              <w:t xml:space="preserve">Name</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2">
            <w:pPr>
              <w:widowControl w:val="0"/>
              <w:spacing w:line="276" w:lineRule="auto"/>
              <w:rPr/>
            </w:pPr>
            <w:r w:rsidDel="00000000" w:rsidR="00000000" w:rsidRPr="00000000">
              <w:rPr>
                <w:rtl w:val="0"/>
              </w:rPr>
              <w:t xml:space="preserve">Назва органу</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3">
            <w:pPr>
              <w:widowControl w:val="0"/>
              <w:spacing w:line="276" w:lineRule="auto"/>
              <w:rPr/>
            </w:pPr>
            <w:r w:rsidDel="00000000" w:rsidR="00000000" w:rsidRPr="00000000">
              <w:rPr>
                <w:rtl w:val="0"/>
              </w:rPr>
              <w:t xml:space="preserve">Назва уповноваженого органу. Наприклад: Департамент містобудування та архітектури Дніпровської міської ради.</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4">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6">
            <w:pPr>
              <w:widowControl w:val="0"/>
              <w:spacing w:line="276" w:lineRule="auto"/>
              <w:rPr/>
            </w:pPr>
            <w:r w:rsidDel="00000000" w:rsidR="00000000" w:rsidRPr="00000000">
              <w:rPr>
                <w:rtl w:val="0"/>
              </w:rPr>
              <w:t xml:space="preserve">authoritytIdentifier</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7">
            <w:pPr>
              <w:widowControl w:val="0"/>
              <w:spacing w:line="276" w:lineRule="auto"/>
              <w:rPr/>
            </w:pPr>
            <w:r w:rsidDel="00000000" w:rsidR="00000000" w:rsidRPr="00000000">
              <w:rPr>
                <w:rtl w:val="0"/>
              </w:rPr>
              <w:t xml:space="preserve">Ідентифікатор органу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8">
            <w:pPr>
              <w:widowControl w:val="0"/>
              <w:spacing w:line="276" w:lineRule="auto"/>
              <w:rPr/>
            </w:pPr>
            <w:r w:rsidDel="00000000" w:rsidR="00000000" w:rsidRPr="00000000">
              <w:rPr>
                <w:rtl w:val="0"/>
              </w:rPr>
              <w:t xml:space="preserve">Код ЄДРПОУ уповноваженого органу.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A">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B">
            <w:pPr>
              <w:widowControl w:val="0"/>
              <w:spacing w:line="276" w:lineRule="auto"/>
              <w:rPr/>
            </w:pPr>
            <w:r w:rsidDel="00000000" w:rsidR="00000000" w:rsidRPr="00000000">
              <w:rPr>
                <w:rtl w:val="0"/>
              </w:rPr>
              <w:t xml:space="preserve">applicantName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C">
            <w:pPr>
              <w:widowControl w:val="0"/>
              <w:spacing w:line="276" w:lineRule="auto"/>
              <w:rPr/>
            </w:pPr>
            <w:r w:rsidDel="00000000" w:rsidR="00000000" w:rsidRPr="00000000">
              <w:rPr>
                <w:rtl w:val="0"/>
              </w:rPr>
              <w:t xml:space="preserve">Ім'я або назва замовника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D">
            <w:pPr>
              <w:widowControl w:val="0"/>
              <w:spacing w:line="276" w:lineRule="auto"/>
              <w:rPr/>
            </w:pPr>
            <w:r w:rsidDel="00000000" w:rsidR="00000000" w:rsidRPr="00000000">
              <w:rPr>
                <w:rtl w:val="0"/>
              </w:rPr>
              <w:t xml:space="preserve">Прізвище, ім’я, по батькові або назва юридичної особи замовника. Наприклад: ТОВ «Будівельні технології».</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E">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F">
            <w:pPr>
              <w:widowControl w:val="0"/>
              <w:spacing w:line="276" w:lineRule="auto"/>
              <w:rPr/>
            </w:pPr>
            <w:r w:rsidDel="00000000" w:rsidR="00000000" w:rsidRPr="00000000">
              <w:rPr>
                <w:rtl w:val="0"/>
              </w:rPr>
              <w:t xml:space="preserve">Істина (true)</w:t>
            </w:r>
          </w:p>
        </w:tc>
      </w:tr>
      <w:tr>
        <w:trPr>
          <w:trHeight w:val="120" w:hRule="atLeast"/>
        </w:trP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0">
            <w:pPr>
              <w:widowControl w:val="0"/>
              <w:spacing w:line="276" w:lineRule="auto"/>
              <w:rPr/>
            </w:pPr>
            <w:r w:rsidDel="00000000" w:rsidR="00000000" w:rsidRPr="00000000">
              <w:rPr>
                <w:rtl w:val="0"/>
              </w:rPr>
              <w:t xml:space="preserve">applicantIdentifier</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1">
            <w:pPr>
              <w:widowControl w:val="0"/>
              <w:spacing w:line="276" w:lineRule="auto"/>
              <w:rPr/>
            </w:pPr>
            <w:r w:rsidDel="00000000" w:rsidR="00000000" w:rsidRPr="00000000">
              <w:rPr>
                <w:rtl w:val="0"/>
              </w:rPr>
              <w:t xml:space="preserve">Ідентифікатор замовника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2">
            <w:pPr>
              <w:widowControl w:val="0"/>
              <w:spacing w:line="276" w:lineRule="auto"/>
              <w:rPr/>
            </w:pPr>
            <w:r w:rsidDel="00000000" w:rsidR="00000000" w:rsidRPr="00000000">
              <w:rPr>
                <w:rtl w:val="0"/>
              </w:rPr>
              <w:t xml:space="preserve">Код ЄДРПОУ замовника. Наприклад: 01234567. У випадку ФОП дані про РНОКПП знеособлюються.</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3">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4">
            <w:pPr>
              <w:widowControl w:val="0"/>
              <w:rPr/>
            </w:pPr>
            <w:r w:rsidDel="00000000" w:rsidR="00000000" w:rsidRPr="00000000">
              <w:rPr>
                <w:rtl w:val="0"/>
              </w:rPr>
              <w:t xml:space="preserve">Істина (true)</w:t>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t xml:space="preserve">type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6">
            <w:pPr>
              <w:widowControl w:val="0"/>
              <w:spacing w:line="276" w:lineRule="auto"/>
              <w:rPr/>
            </w:pPr>
            <w:r w:rsidDel="00000000" w:rsidR="00000000" w:rsidRPr="00000000">
              <w:rPr>
                <w:rtl w:val="0"/>
              </w:rPr>
              <w:t xml:space="preserve">Вид будівництва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7">
            <w:pPr>
              <w:widowControl w:val="0"/>
              <w:spacing w:line="276" w:lineRule="auto"/>
              <w:rPr/>
            </w:pPr>
            <w:r w:rsidDel="00000000" w:rsidR="00000000" w:rsidRPr="00000000">
              <w:rPr>
                <w:rtl w:val="0"/>
              </w:rPr>
              <w:t xml:space="preserve">Вид будівництва відповідно до Наказу Мінрегіону України № 45 від 16.05.2011: Нове будівництво, Реконструкція, Технічне переоснащення діючих підприємств, Реставрація, Капітальний ремонт.</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8">
            <w:pPr>
              <w:widowControl w:val="0"/>
              <w:spacing w:line="276" w:lineRule="auto"/>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9">
            <w:pPr>
              <w:widowControl w:val="0"/>
              <w:spacing w:line="276" w:lineRule="auto"/>
              <w:rPr/>
            </w:pPr>
            <w:r w:rsidDel="00000000" w:rsidR="00000000" w:rsidRPr="00000000">
              <w:rPr>
                <w:rtl w:val="0"/>
              </w:rPr>
              <w:t xml:space="preserve">Істина (true)</w:t>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A">
            <w:pPr>
              <w:widowControl w:val="0"/>
              <w:spacing w:line="276" w:lineRule="auto"/>
              <w:rPr/>
            </w:pPr>
            <w:r w:rsidDel="00000000" w:rsidR="00000000" w:rsidRPr="00000000">
              <w:rPr>
                <w:rtl w:val="0"/>
              </w:rPr>
              <w:t xml:space="preserve">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B">
            <w:pPr>
              <w:widowControl w:val="0"/>
              <w:spacing w:line="276" w:lineRule="auto"/>
              <w:rPr/>
            </w:pPr>
            <w:r w:rsidDel="00000000" w:rsidR="00000000" w:rsidRPr="00000000">
              <w:rPr>
                <w:rtl w:val="0"/>
              </w:rPr>
              <w:t xml:space="preserve">Назва об'єкта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C">
            <w:pPr>
              <w:widowControl w:val="0"/>
              <w:spacing w:line="276" w:lineRule="auto"/>
              <w:rPr/>
            </w:pPr>
            <w:r w:rsidDel="00000000" w:rsidR="00000000" w:rsidRPr="00000000">
              <w:rPr>
                <w:rtl w:val="0"/>
              </w:rPr>
              <w:t xml:space="preserve">Назва об'єкта будівництва. Наприклад: Житловий будинок.</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D">
            <w:pPr>
              <w:widowControl w:val="0"/>
              <w:spacing w:line="276" w:lineRule="auto"/>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E">
            <w:pPr>
              <w:widowControl w:val="0"/>
              <w:spacing w:line="276" w:lineRule="auto"/>
              <w:rPr/>
            </w:pPr>
            <w:r w:rsidDel="00000000" w:rsidR="00000000" w:rsidRPr="00000000">
              <w:rPr>
                <w:rtl w:val="0"/>
              </w:rPr>
              <w:t xml:space="preserve">Істина (true)</w:t>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F">
            <w:pPr>
              <w:widowControl w:val="0"/>
              <w:spacing w:line="276" w:lineRule="auto"/>
              <w:rPr/>
            </w:pPr>
            <w:r w:rsidDel="00000000" w:rsidR="00000000" w:rsidRPr="00000000">
              <w:rPr>
                <w:rtl w:val="0"/>
              </w:rPr>
              <w:t xml:space="preserve">parcelNumber</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0">
            <w:pPr>
              <w:widowControl w:val="0"/>
              <w:spacing w:line="276" w:lineRule="auto"/>
              <w:rPr/>
            </w:pPr>
            <w:r w:rsidDel="00000000" w:rsidR="00000000" w:rsidRPr="00000000">
              <w:rPr>
                <w:rtl w:val="0"/>
              </w:rPr>
              <w:t xml:space="preserve">Кадастровий номер</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t xml:space="preserve">Кадастровий номер земельної ділянки, на якій розміщується об’єкт будівництва. Наприклад: 12345678901:01:012:0123.</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2">
            <w:pPr>
              <w:widowControl w:val="0"/>
              <w:spacing w:line="276" w:lineRule="auto"/>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3">
            <w:pPr>
              <w:widowControl w:val="0"/>
              <w:spacing w:line="276" w:lineRule="auto"/>
              <w:rPr/>
            </w:pPr>
            <w:r w:rsidDel="00000000" w:rsidR="00000000" w:rsidRPr="00000000">
              <w:rPr>
                <w:rtl w:val="0"/>
              </w:rPr>
              <w:t xml:space="preserve">Істина (true)</w:t>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4">
            <w:pPr>
              <w:widowControl w:val="0"/>
              <w:rPr/>
            </w:pPr>
            <w:r w:rsidDel="00000000" w:rsidR="00000000" w:rsidRPr="00000000">
              <w:rPr>
                <w:rtl w:val="0"/>
              </w:rPr>
              <w:t xml:space="preserve">addressPostCode</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5">
            <w:pPr>
              <w:widowControl w:val="0"/>
              <w:rPr/>
            </w:pPr>
            <w:r w:rsidDel="00000000" w:rsidR="00000000" w:rsidRPr="00000000">
              <w:rPr>
                <w:rtl w:val="0"/>
              </w:rPr>
              <w:t xml:space="preserve">Поштовий індекс</w:t>
              <w:tab/>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6">
            <w:pPr>
              <w:widowControl w:val="0"/>
              <w:rPr/>
            </w:pPr>
            <w:r w:rsidDel="00000000" w:rsidR="00000000" w:rsidRPr="00000000">
              <w:rPr>
                <w:rtl w:val="0"/>
              </w:rPr>
              <w:t xml:space="preserve">Поштовий індекс адреси об'єкта будівництва. Наприклад: 01234.</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7">
            <w:pPr>
              <w:widowControl w:val="0"/>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8">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9">
            <w:pPr>
              <w:widowControl w:val="0"/>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A">
            <w:pPr>
              <w:widowControl w:val="0"/>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B">
            <w:pPr>
              <w:widowControl w:val="0"/>
              <w:rPr/>
            </w:pPr>
            <w:r w:rsidDel="00000000" w:rsidR="00000000" w:rsidRPr="00000000">
              <w:rPr>
                <w:rtl w:val="0"/>
              </w:rPr>
              <w:t xml:space="preserve">Назва держави. У колонці має бути зазначено Україна.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C">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D">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E">
            <w:pPr>
              <w:widowControl w:val="0"/>
              <w:rPr/>
            </w:pPr>
            <w:r w:rsidDel="00000000" w:rsidR="00000000" w:rsidRPr="00000000">
              <w:rPr>
                <w:rtl w:val="0"/>
              </w:rPr>
              <w:t xml:space="preserve">addressAdminUnitL2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F">
            <w:pPr>
              <w:widowControl w:val="0"/>
              <w:rPr/>
            </w:pPr>
            <w:r w:rsidDel="00000000" w:rsidR="00000000" w:rsidRPr="00000000">
              <w:rPr>
                <w:rtl w:val="0"/>
              </w:rPr>
              <w:t xml:space="preserve">Регіон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0">
            <w:pPr>
              <w:widowControl w:val="0"/>
              <w:rPr/>
            </w:pPr>
            <w:r w:rsidDel="00000000" w:rsidR="00000000" w:rsidRPr="00000000">
              <w:rPr>
                <w:rtl w:val="0"/>
              </w:rPr>
              <w:t xml:space="preserve">Назва регіону, де розміщений об’єкт будівництва. Наприклад: Полтавська область.</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1">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2">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3">
            <w:pPr>
              <w:widowControl w:val="0"/>
              <w:rPr/>
            </w:pPr>
            <w:r w:rsidDel="00000000" w:rsidR="00000000" w:rsidRPr="00000000">
              <w:rPr>
                <w:rtl w:val="0"/>
              </w:rPr>
              <w:t xml:space="preserve">addressAdminUnitL3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widowControl w:val="0"/>
              <w:rPr/>
            </w:pPr>
            <w:r w:rsidDel="00000000" w:rsidR="00000000" w:rsidRPr="00000000">
              <w:rPr>
                <w:rtl w:val="0"/>
              </w:rPr>
              <w:t xml:space="preserve">Район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rPr/>
            </w:pPr>
            <w:r w:rsidDel="00000000" w:rsidR="00000000" w:rsidRPr="00000000">
              <w:rPr>
                <w:rtl w:val="0"/>
              </w:rPr>
              <w:t xml:space="preserve">Назва району. Наприклад: Броварський район.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6">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7">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rPr/>
            </w:pPr>
            <w:r w:rsidDel="00000000" w:rsidR="00000000" w:rsidRPr="00000000">
              <w:rPr>
                <w:rtl w:val="0"/>
              </w:rPr>
              <w:t xml:space="preserve">addressPostName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widowControl w:val="0"/>
              <w:rPr/>
            </w:pPr>
            <w:r w:rsidDel="00000000" w:rsidR="00000000" w:rsidRPr="00000000">
              <w:rPr>
                <w:rtl w:val="0"/>
              </w:rPr>
              <w:t xml:space="preserve">Населений пункт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A">
            <w:pPr>
              <w:widowControl w:val="0"/>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і їх скорочень «м.» та «с. р.»). Наприклад: Балта.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B">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C">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rPr/>
            </w:pPr>
            <w:r w:rsidDel="00000000" w:rsidR="00000000" w:rsidRPr="00000000">
              <w:rPr>
                <w:rtl w:val="0"/>
              </w:rPr>
              <w:t xml:space="preserve">addressThoroughfare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F">
            <w:pPr>
              <w:widowControl w:val="0"/>
              <w:rPr/>
            </w:pPr>
            <w:r w:rsidDel="00000000" w:rsidR="00000000" w:rsidRPr="00000000">
              <w:rPr>
                <w:rtl w:val="0"/>
              </w:rPr>
              <w:t xml:space="preserve">Тип та назва площі, майдану, шосе, проспекту, бульвару, алеї, провулку, узвозу тощо, де розміщений об’єкт. Наприклад: вул. Харківська.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1">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widowControl w:val="0"/>
              <w:rPr/>
            </w:pPr>
            <w:r w:rsidDel="00000000" w:rsidR="00000000" w:rsidRPr="00000000">
              <w:rPr>
                <w:rtl w:val="0"/>
              </w:rPr>
              <w:t xml:space="preserve">addressLocatorDesignator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3">
            <w:pPr>
              <w:widowControl w:val="0"/>
              <w:rPr/>
            </w:pPr>
            <w:r w:rsidDel="00000000" w:rsidR="00000000" w:rsidRPr="00000000">
              <w:rPr>
                <w:rtl w:val="0"/>
              </w:rPr>
              <w:t xml:space="preserve">Номер об’єкта </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4">
            <w:pPr>
              <w:widowControl w:val="0"/>
              <w:rPr/>
            </w:pPr>
            <w:r w:rsidDel="00000000" w:rsidR="00000000" w:rsidRPr="00000000">
              <w:rPr>
                <w:rtl w:val="0"/>
              </w:rPr>
              <w:t xml:space="preserve">Номер може включати числа та букви. Наприклад: 15-А.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6">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7">
            <w:pPr>
              <w:widowControl w:val="0"/>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8">
            <w:pPr>
              <w:widowControl w:val="0"/>
              <w:rPr/>
            </w:pPr>
            <w:r w:rsidDel="00000000" w:rsidR="00000000" w:rsidRPr="00000000">
              <w:rPr>
                <w:rtl w:val="0"/>
              </w:rPr>
              <w:t xml:space="preserve">Номер корпусу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9">
            <w:pPr>
              <w:widowControl w:val="0"/>
              <w:rPr/>
            </w:pPr>
            <w:r w:rsidDel="00000000" w:rsidR="00000000" w:rsidRPr="00000000">
              <w:rPr>
                <w:rtl w:val="0"/>
              </w:rPr>
              <w:t xml:space="preserve">Номер корпусу зазначається числом для об’єктів, які складаються з декількох корпусів. Наприклад: 3.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A">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B">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status</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Статус</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Статус містобудівних умов та обмежень може мати одне зі значень: Чинні, Чинні зі змінами, Втратили чинність, Скасовані, Чинність відновлено.</w:t>
              <w:tab/>
              <w:t xml:space="preserve"> Наприклад: Чинні.</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Істина (true)</w:t>
            </w:r>
          </w:p>
        </w:tc>
      </w:tr>
      <w:tr>
        <w:trPr>
          <w:trHeight w:val="200" w:hRule="atLeast"/>
        </w:trP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changesDescription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Зміни</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3">
            <w:pPr>
              <w:widowControl w:val="0"/>
              <w:spacing w:line="276" w:lineRule="auto"/>
              <w:rPr/>
            </w:pPr>
            <w:r w:rsidDel="00000000" w:rsidR="00000000" w:rsidRPr="00000000">
              <w:rPr>
                <w:rtl w:val="0"/>
              </w:rPr>
              <w:t xml:space="preserve">Інформація про внесення змін до містобудівних умов та обмежень. Наприклад: Наказ Департаменту містобудування та архітектури Дніпровської міської ради №234 від 12.03.2019. Якщо зміни відсутні,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4">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Хибність (false)</w:t>
            </w:r>
          </w:p>
        </w:tc>
      </w:tr>
      <w:tr>
        <w:trPr>
          <w:trHeight w:val="200" w:hRule="atLeast"/>
        </w:trP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cancellationDescription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Скасування</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Опис підстави для скасування або зупинення дії містобудівних умов та обмежень. Наприклад: Наказ Департаменту містобудування та архітектури Дніпровської міської ради №234 від 12.03.2019. Якщо підстави відсутні,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A">
            <w:pPr>
              <w:widowControl w:val="0"/>
              <w:spacing w:line="276" w:lineRule="auto"/>
              <w:rPr/>
            </w:pPr>
            <w:r w:rsidDel="00000000" w:rsidR="00000000" w:rsidRPr="00000000">
              <w:rPr>
                <w:rtl w:val="0"/>
              </w:rPr>
              <w:t xml:space="preserve">Хибність (false)</w:t>
            </w:r>
          </w:p>
        </w:tc>
      </w:tr>
      <w:tr>
        <w:trPr>
          <w:trHeight w:val="200" w:hRule="atLeast"/>
        </w:trP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url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Посилання</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D">
            <w:pPr>
              <w:spacing w:line="276" w:lineRule="auto"/>
              <w:rPr/>
            </w:pPr>
            <w:r w:rsidDel="00000000" w:rsidR="00000000" w:rsidRPr="00000000">
              <w:rPr>
                <w:rtl w:val="0"/>
              </w:rPr>
              <w:t xml:space="preserve">Посилання на примірник містобудівних умов та обмежень, оприлюднених в мережі Інтернет (URL). Посилання має починатися з http:// або https://. Наприклад: https://www.example.gov.ua/example/.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Істина (true)</w:t>
            </w:r>
          </w:p>
        </w:tc>
      </w:tr>
    </w:tbl>
    <w:p w:rsidR="00000000" w:rsidDel="00000000" w:rsidP="00000000" w:rsidRDefault="00000000" w:rsidRPr="00000000" w14:paraId="000000A0">
      <w:pPr>
        <w:pStyle w:val="Heading1"/>
        <w:spacing w:line="276" w:lineRule="auto"/>
        <w:rPr/>
      </w:pPr>
      <w:bookmarkStart w:colFirst="0" w:colLast="0" w:name="_ayzcnxf60j46" w:id="6"/>
      <w:bookmarkEnd w:id="6"/>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1">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A2">
      <w:pPr>
        <w:spacing w:after="200" w:line="276" w:lineRule="auto"/>
        <w:rPr/>
      </w:pPr>
      <w:r w:rsidDel="00000000" w:rsidR="00000000" w:rsidRPr="00000000">
        <w:rPr>
          <w:rtl w:val="0"/>
        </w:rPr>
      </w:r>
    </w:p>
    <w:p w:rsidR="00000000" w:rsidDel="00000000" w:rsidP="00000000" w:rsidRDefault="00000000" w:rsidRPr="00000000" w14:paraId="000000A3">
      <w:pPr>
        <w:spacing w:after="200" w:line="276"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A4">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A5">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A6">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0A7">
            <w:pPr>
              <w:widowControl w:val="0"/>
              <w:spacing w:line="276" w:lineRule="auto"/>
              <w:rPr/>
            </w:pPr>
            <w:r w:rsidDel="00000000" w:rsidR="00000000" w:rsidRPr="00000000">
              <w:rPr>
                <w:rtl w:val="0"/>
              </w:rPr>
              <w:t xml:space="preserve">Дані про надані містобудівні умови та обмеження</w:t>
            </w:r>
          </w:p>
        </w:tc>
      </w:tr>
      <w:tr>
        <w:trPr>
          <w:trHeight w:val="20" w:hRule="atLeast"/>
        </w:trPr>
        <w:tc>
          <w:tcPr/>
          <w:p w:rsidR="00000000" w:rsidDel="00000000" w:rsidP="00000000" w:rsidRDefault="00000000" w:rsidRPr="00000000" w14:paraId="000000A8">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A9">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AA">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AB">
            <w:pPr>
              <w:widowControl w:val="0"/>
              <w:spacing w:line="276" w:lineRule="auto"/>
              <w:rPr/>
            </w:pPr>
            <w:r w:rsidDel="00000000" w:rsidR="00000000" w:rsidRPr="00000000">
              <w:rPr>
                <w:rtl w:val="0"/>
              </w:rPr>
              <w:t xml:space="preserve">Щотижня</w:t>
            </w:r>
            <w:r w:rsidDel="00000000" w:rsidR="00000000" w:rsidRPr="00000000">
              <w:rPr>
                <w:rtl w:val="0"/>
              </w:rPr>
            </w:r>
          </w:p>
        </w:tc>
      </w:tr>
      <w:tr>
        <w:tc>
          <w:tcPr/>
          <w:p w:rsidR="00000000" w:rsidDel="00000000" w:rsidP="00000000" w:rsidRDefault="00000000" w:rsidRPr="00000000" w14:paraId="000000AC">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AD">
            <w:pPr>
              <w:widowControl w:val="0"/>
              <w:spacing w:line="276" w:lineRule="auto"/>
              <w:rPr/>
            </w:pPr>
            <w:r w:rsidDel="00000000" w:rsidR="00000000" w:rsidRPr="00000000">
              <w:rPr>
                <w:rtl w:val="0"/>
              </w:rPr>
              <w:t xml:space="preserve">Набір містить реєстр містобудівних умов та обмежень, виданих Департаментом містобудування та архітектури Дніпровської міської ради. Зокрема, інформацію про замовників, уповноважений орган, видані документи, об’єкти будівництва, зміни тощо.</w:t>
            </w:r>
          </w:p>
        </w:tc>
      </w:tr>
      <w:tr>
        <w:trPr>
          <w:trHeight w:val="180" w:hRule="atLeast"/>
        </w:trPr>
        <w:tc>
          <w:tcPr/>
          <w:p w:rsidR="00000000" w:rsidDel="00000000" w:rsidP="00000000" w:rsidRDefault="00000000" w:rsidRPr="00000000" w14:paraId="000000AE">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AF">
            <w:pPr>
              <w:widowControl w:val="0"/>
              <w:spacing w:line="276" w:lineRule="auto"/>
              <w:rPr/>
            </w:pPr>
            <w:r w:rsidDel="00000000" w:rsidR="00000000" w:rsidRPr="00000000">
              <w:rPr>
                <w:rtl w:val="0"/>
              </w:rPr>
              <w:t xml:space="preserve">Закон України «Про регулювання містобудівної діяльності» від 17.02.2011 № 3038-VI, Наказ Мінрегіону України «Про затвердження Порядку ведення реєстру містобудівних умов та обмежень» від 31.05.2017 № 135</w:t>
            </w:r>
            <w:r w:rsidDel="00000000" w:rsidR="00000000" w:rsidRPr="00000000">
              <w:rPr>
                <w:rtl w:val="0"/>
              </w:rPr>
            </w:r>
          </w:p>
        </w:tc>
      </w:tr>
      <w:tr>
        <w:trPr>
          <w:trHeight w:val="120" w:hRule="atLeast"/>
        </w:trPr>
        <w:tc>
          <w:tcPr/>
          <w:p w:rsidR="00000000" w:rsidDel="00000000" w:rsidP="00000000" w:rsidRDefault="00000000" w:rsidRPr="00000000" w14:paraId="000000B0">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B1">
            <w:pPr>
              <w:widowControl w:val="0"/>
              <w:spacing w:line="276" w:lineRule="auto"/>
              <w:rPr/>
            </w:pPr>
            <w:r w:rsidDel="00000000" w:rsidR="00000000" w:rsidRPr="00000000">
              <w:rPr>
                <w:rtl w:val="0"/>
              </w:rPr>
              <w:t xml:space="preserve">проектування, містобудування, умови, обмеження, будівництво, реєстр, містобудівні умови обмеження</w:t>
            </w:r>
            <w:r w:rsidDel="00000000" w:rsidR="00000000" w:rsidRPr="00000000">
              <w:rPr>
                <w:rtl w:val="0"/>
              </w:rPr>
            </w:r>
          </w:p>
        </w:tc>
      </w:tr>
      <w:tr>
        <w:trPr>
          <w:trHeight w:val="460" w:hRule="atLeast"/>
        </w:trPr>
        <w:tc>
          <w:tcPr/>
          <w:p w:rsidR="00000000" w:rsidDel="00000000" w:rsidP="00000000" w:rsidRDefault="00000000" w:rsidRPr="00000000" w14:paraId="000000B2">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B3">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B4">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B5">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B6">
      <w:pPr>
        <w:spacing w:after="200" w:line="276" w:lineRule="auto"/>
        <w:jc w:val="center"/>
        <w:rPr/>
      </w:pPr>
      <w:r w:rsidDel="00000000" w:rsidR="00000000" w:rsidRPr="00000000">
        <w:rPr>
          <w:rtl w:val="0"/>
        </w:rPr>
      </w:r>
    </w:p>
    <w:p w:rsidR="00000000" w:rsidDel="00000000" w:rsidP="00000000" w:rsidRDefault="00000000" w:rsidRPr="00000000" w14:paraId="000000B7">
      <w:pPr>
        <w:spacing w:after="200" w:line="276" w:lineRule="auto"/>
        <w:jc w:val="center"/>
        <w:rPr>
          <w:b w:val="1"/>
        </w:rPr>
      </w:pPr>
      <w:r w:rsidDel="00000000" w:rsidR="00000000" w:rsidRPr="00000000">
        <w:rPr>
          <w:b w:val="1"/>
          <w:rtl w:val="0"/>
        </w:rPr>
        <w:t xml:space="preserve">Таблиця 4 — Приклад паспорта ресурсу Register </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B8">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B9">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BA">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BB">
            <w:pPr>
              <w:spacing w:line="276" w:lineRule="auto"/>
              <w:rPr/>
            </w:pPr>
            <w:r w:rsidDel="00000000" w:rsidR="00000000" w:rsidRPr="00000000">
              <w:rPr>
                <w:rtl w:val="0"/>
              </w:rPr>
              <w:t xml:space="preserve">Register.xlsx</w:t>
            </w:r>
          </w:p>
        </w:tc>
      </w:tr>
      <w:tr>
        <w:tc>
          <w:tcPr/>
          <w:p w:rsidR="00000000" w:rsidDel="00000000" w:rsidP="00000000" w:rsidRDefault="00000000" w:rsidRPr="00000000" w14:paraId="000000BC">
            <w:pPr>
              <w:spacing w:line="276" w:lineRule="auto"/>
              <w:rPr/>
            </w:pPr>
            <w:r w:rsidDel="00000000" w:rsidR="00000000" w:rsidRPr="00000000">
              <w:rPr>
                <w:rtl w:val="0"/>
              </w:rPr>
              <w:t xml:space="preserve">Опис</w:t>
            </w:r>
          </w:p>
        </w:tc>
        <w:tc>
          <w:tcPr/>
          <w:p w:rsidR="00000000" w:rsidDel="00000000" w:rsidP="00000000" w:rsidRDefault="00000000" w:rsidRPr="00000000" w14:paraId="000000BD">
            <w:pPr>
              <w:widowControl w:val="0"/>
              <w:spacing w:line="276" w:lineRule="auto"/>
              <w:rPr/>
            </w:pPr>
            <w:r w:rsidDel="00000000" w:rsidR="00000000" w:rsidRPr="00000000">
              <w:rPr>
                <w:rtl w:val="0"/>
              </w:rPr>
              <w:t xml:space="preserve">Таблиця містить назви, адреси об’єктів будівництва, інформацію про замовників, уповноважений орган, реквізити наказу про затвердження містобудівних умов та обмежень, підстави для їх змін або скасування та інше.</w:t>
            </w:r>
          </w:p>
        </w:tc>
      </w:tr>
      <w:tr>
        <w:trPr>
          <w:trHeight w:val="160" w:hRule="atLeast"/>
        </w:trPr>
        <w:tc>
          <w:tcPr/>
          <w:p w:rsidR="00000000" w:rsidDel="00000000" w:rsidP="00000000" w:rsidRDefault="00000000" w:rsidRPr="00000000" w14:paraId="000000BE">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BF">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0C0">
      <w:pPr>
        <w:spacing w:line="276" w:lineRule="auto"/>
        <w:jc w:val="both"/>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apas-opendata/decreet-835-mun/raw/master/urban/conditions-restrictions/Register.xlsx" TargetMode="External"/><Relationship Id="rId10" Type="http://schemas.openxmlformats.org/officeDocument/2006/relationships/hyperlink" Target="https://zakon.rada.gov.ua/laws/show/z0714-17#n13" TargetMode="External"/><Relationship Id="rId13" Type="http://schemas.openxmlformats.org/officeDocument/2006/relationships/hyperlink" Target="https://github.com/tapas-opendata/decreet-835-mun/raw/master/urban/conditions-restrictions/Example.xlsx" TargetMode="External"/><Relationship Id="rId12" Type="http://schemas.openxmlformats.org/officeDocument/2006/relationships/hyperlink" Target="https://github.com/tapas-opendata/decreet-835-mun/raw/master/urban/conditions-restrictions/Example.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3038-17" TargetMode="External"/><Relationship Id="rId15" Type="http://schemas.openxmlformats.org/officeDocument/2006/relationships/hyperlink" Target="https://raw.githubusercontent.com/tapas-opendata/decreet-835-mun/master/urban/conditions-restrictions/Structure.csv" TargetMode="External"/><Relationship Id="rId14" Type="http://schemas.openxmlformats.org/officeDocument/2006/relationships/hyperlink" Target="https://github.com/tapas-opendata/decreet-835-mun/raw/master/urban/conditions-restrictions/Structure.xlsx" TargetMode="External"/><Relationship Id="rId17" Type="http://schemas.openxmlformats.org/officeDocument/2006/relationships/hyperlink" Target="https://docs.ckan.org/en/latest/maintaining/datastore.html" TargetMode="External"/><Relationship Id="rId16" Type="http://schemas.openxmlformats.org/officeDocument/2006/relationships/hyperlink" Target="https://raw.githubusercontent.com/tapas-opendata/decreet-835-mun/master/urban/conditions-restrictions/Structure.json" TargetMode="External"/><Relationship Id="rId5" Type="http://schemas.openxmlformats.org/officeDocument/2006/relationships/styles" Target="styles.xml"/><Relationship Id="rId6" Type="http://schemas.openxmlformats.org/officeDocument/2006/relationships/hyperlink" Target="https://zakon.rada.gov.ua/laws/show/3038-17" TargetMode="External"/><Relationship Id="rId7" Type="http://schemas.openxmlformats.org/officeDocument/2006/relationships/hyperlink" Target="https://zakon.rada.gov.ua/laws/show/z0714-17#n13" TargetMode="External"/><Relationship Id="rId8" Type="http://schemas.openxmlformats.org/officeDocument/2006/relationships/hyperlink" Target="https://zakon.rada.gov.ua/laws/show/z143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