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h4wi12as5x6" w:id="0"/>
      <w:bookmarkEnd w:id="0"/>
      <w:r w:rsidDel="00000000" w:rsidR="00000000" w:rsidRPr="00000000">
        <w:rPr>
          <w:rtl w:val="0"/>
        </w:rPr>
        <w:t xml:space="preserve">Дані про здійснення державного архітектурно-будівельного контролю, у тому числі про плани перевірок та складені документи (акти, приписи, протоколи, постанови)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основні засади державного нагляду (контролю) у сфері господарської діяльності» від 05.04.2007 № 877-V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Порядку здійснення державного архітектурно-будівельного контролю» від 23.05.2011 № 553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Порядок функціонування інтегрованої автоматизованої системи державного нагляду (контролю), внесення відомостей до неї та строки розміщення цих відомостей» від 24.05.2017 № 387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Уповноважені органи вносять відомості про здійснення державного архітектурно-будівельного контролю до інтегрованої автоматизованої системи державного нагляду/контролю (inspections.gov.ua).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Планування заходів, здійснення перевірок, накладення санкцій та інші складові архітектурно-будівельного контролю.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Органи місцевого самоврядування здійснюють державний архітектурно-будівельний контроль відповідно до положень визначених у статті 41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Закон України «Про регулювання містобудівної діяльності»</w:t>
        </w:r>
      </w:hyperlink>
      <w:r w:rsidDel="00000000" w:rsidR="00000000" w:rsidRPr="00000000">
        <w:rPr>
          <w:rtl w:val="0"/>
        </w:rPr>
        <w:t xml:space="preserve">, статті 31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Закон України «Про місцеве самоврядування в Україні»</w:t>
        </w:r>
      </w:hyperlink>
      <w:r w:rsidDel="00000000" w:rsidR="00000000" w:rsidRPr="00000000">
        <w:rPr>
          <w:rtl w:val="0"/>
        </w:rPr>
        <w:t xml:space="preserve"> та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Постанові КМУ від 23.05.2011 № 553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Відповідно до частини 11 статті 4 прим. 1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основні засади державного нагляду (контролю) у сфері господарської діяльності»</w:t>
        </w:r>
      </w:hyperlink>
      <w:r w:rsidDel="00000000" w:rsidR="00000000" w:rsidRPr="00000000">
        <w:rPr>
          <w:rtl w:val="0"/>
        </w:rPr>
        <w:t xml:space="preserve"> органи державного нагляду (контролю) зобов’язані вносити відомості про діяльність до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інтегрованої автоматизованої системи (далі — ІАС) державного нагляду (контролю)</w:t>
        </w:r>
      </w:hyperlink>
      <w:r w:rsidDel="00000000" w:rsidR="00000000" w:rsidRPr="00000000">
        <w:rPr>
          <w:rtl w:val="0"/>
        </w:rPr>
        <w:t xml:space="preserve">. Перелік відомостей, що вносяться до системи, визначений частиною 2 цієї ж статті. Порядок функціонування ІАС державного нагляду (контролю), внесення відомостей до неї та строки розміщення інформації затверджені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Постановою КМУ від 24.05.2017 № 387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Дані набору рекомендовано оприлюднювати через API (інтерфейс прикладного програмування)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ІАС державного нагляду (контролю)</w:t>
        </w:r>
      </w:hyperlink>
      <w:r w:rsidDel="00000000" w:rsidR="00000000" w:rsidRPr="00000000">
        <w:rPr>
          <w:rtl w:val="0"/>
        </w:rPr>
        <w:t xml:space="preserve"> у форматі JSON. Для цього необхідно сформувати посилання (кінцеву точку), за яким користувачі </w:t>
      </w:r>
      <w:r w:rsidDel="00000000" w:rsidR="00000000" w:rsidRPr="00000000">
        <w:rPr>
          <w:rtl w:val="0"/>
        </w:rPr>
        <w:t xml:space="preserve">зможуть</w:t>
      </w:r>
      <w:r w:rsidDel="00000000" w:rsidR="00000000" w:rsidRPr="00000000">
        <w:rPr>
          <w:rtl w:val="0"/>
        </w:rPr>
        <w:t xml:space="preserve"> отримати дані певного органу. Воно матиме наступний вигляд: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left="283.46456692913387" w:firstLine="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http://api.ias.brdo.com.ua/v1_1/inspections?apiKey=brdo-key-4512896734821100&amp;regulator=</w:t>
      </w: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Точна назва органу з ІАС державного нагляду (контролю)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tl w:val="0"/>
        </w:rPr>
        <w:t xml:space="preserve">Частину, що виділена жирним, необхідно замінити на точну назву уповноваженого органу з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довідника контролюючих органів системи</w:t>
        </w:r>
      </w:hyperlink>
      <w:r w:rsidDel="00000000" w:rsidR="00000000" w:rsidRPr="00000000">
        <w:rPr>
          <w:rtl w:val="0"/>
        </w:rPr>
        <w:t xml:space="preserve">. Посилання (кінцева точка) для отримання даних Управління державного архітектурно-будівельного контролю Одеської міської ради матиме наступний вигляд: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87" w:firstLine="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http://api.ias.brdo.com.ua/v1_1/inspections?apiKey=9bc623795349d2fa6685a1731d85cd7e&amp;regulator=</w:t>
      </w: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Управління державного архітектурно-будівельного контролю Одеської міської ради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Додавши його в адресний рядок веб-переглядача (Google Chrome або Mozilla Firefox), можна отримати машиночитані дані (див. Рисунок 1). Якщо на початку отриманої відповіді розміщено </w:t>
      </w: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"status": "success"</w:t>
      </w:r>
      <w:r w:rsidDel="00000000" w:rsidR="00000000" w:rsidRPr="00000000">
        <w:rPr>
          <w:rtl w:val="0"/>
        </w:rPr>
        <w:t xml:space="preserve">, то посилання побудоване коректно і запит спрацював, якщо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"status": "error"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 посиланні допущена помилка.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Для створення ресурсу на data.gov.ua необхідно обрати варіант «Посилання» й додати сформоване посилання у форму. З детальною документацією API ІАС державного нагляду (контролю) можна ознайомитись за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1 — Приклад даних ІАС державного нагляду (контролю) у форматі JSON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85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Дані про здійснення державного архітектурно-будівельного контролю Управлінням державного архітектурно-будівельного контролю Одеської міської ради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дані про здійснення державного архітектурно-будівельного контролю. Зокрема, плани перевірок, інформацію про їх результати, складені розпорядчі документи (акти, приписи, протоколи, постанови) та інше. Дані оприлюднені через API Інтегрованої автоматизованої системи державного нагляду/контролю (inspections.gov.ua).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регулювання містобудівної діяльності» від 17.02.2011 № 3038-VI, Закон України «Про місцеве самоврядування в Україні» від 21.05.1997 № 280/97-ВР, Закон України «Про основні засади державного нагляду (контролю) у сфері господарської діяльності» від 05.04.2007 № 877-V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контроль, будівництво, перевірки, плани, порушення, акти, приписи, протоколи, постанови, санкція, архітектурно-будівельний контроль, будівельні норми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http://api.ias.brdo.com.ua/v1_1/inspections?apiKey=brdo-key-4512896734821100&amp;regulator=Управління державного архітектурно-будівельного контролю Одеської міської ради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inspections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для отримання даних у форматі JSON. З документацією API ІАС державного нагляду (контролю) можна ознайомитись за посиланням — http://api.ias.brdo.com.ua/v1_1/manual.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zakon.rada.gov.ua/laws/show/3038-17" TargetMode="External"/><Relationship Id="rId10" Type="http://schemas.openxmlformats.org/officeDocument/2006/relationships/hyperlink" Target="https://zakon.rada.gov.ua/laws/show/387-2017-%D0%BF#n8" TargetMode="External"/><Relationship Id="rId21" Type="http://schemas.openxmlformats.org/officeDocument/2006/relationships/hyperlink" Target="http://api.ias.brdo.com.ua/v1_1/inspections?apiKey=brdo-key-4512896734821100&amp;regulator=" TargetMode="External"/><Relationship Id="rId13" Type="http://schemas.openxmlformats.org/officeDocument/2006/relationships/hyperlink" Target="https://zakon.rada.gov.ua/laws/show/553-2011-%D0%BF" TargetMode="External"/><Relationship Id="rId12" Type="http://schemas.openxmlformats.org/officeDocument/2006/relationships/hyperlink" Target="https://zakon.rada.gov.ua/laws/show/280/97-%D0%B2%D1%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553-2011-%D0%BF" TargetMode="External"/><Relationship Id="rId15" Type="http://schemas.openxmlformats.org/officeDocument/2006/relationships/hyperlink" Target="https://inspections.gov.ua" TargetMode="External"/><Relationship Id="rId14" Type="http://schemas.openxmlformats.org/officeDocument/2006/relationships/hyperlink" Target="https://zakon.rada.gov.ua/laws/show/877-16" TargetMode="External"/><Relationship Id="rId17" Type="http://schemas.openxmlformats.org/officeDocument/2006/relationships/hyperlink" Target="https://inspections.gov.ua" TargetMode="External"/><Relationship Id="rId16" Type="http://schemas.openxmlformats.org/officeDocument/2006/relationships/hyperlink" Target="https://zakon.rada.gov.ua/laws/show/387-2017-%D0%BF#n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YQMEEFf_EtuZMud2OVYeVpi3aDE6lsuUqFrsbzS5RKk/edit?usp=sharing" TargetMode="External"/><Relationship Id="rId6" Type="http://schemas.openxmlformats.org/officeDocument/2006/relationships/hyperlink" Target="https://zakon.rada.gov.ua/laws/show/3038-17" TargetMode="External"/><Relationship Id="rId18" Type="http://schemas.openxmlformats.org/officeDocument/2006/relationships/hyperlink" Target="https://inspections.gov.ua/regulator/index" TargetMode="External"/><Relationship Id="rId7" Type="http://schemas.openxmlformats.org/officeDocument/2006/relationships/hyperlink" Target="https://zakon.rada.gov.ua/laws/show/280/97-%D0%B2%D1%80" TargetMode="External"/><Relationship Id="rId8" Type="http://schemas.openxmlformats.org/officeDocument/2006/relationships/hyperlink" Target="https://zakon.rada.gov.ua/laws/show/877-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