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4h4wi12as5x6" w:id="0"/>
      <w:bookmarkEnd w:id="0"/>
      <w:r w:rsidDel="00000000" w:rsidR="00000000" w:rsidRPr="00000000">
        <w:rPr>
          <w:rtl w:val="0"/>
        </w:rPr>
        <w:t xml:space="preserve">Генеральні плани населених пунктів, історико-архітектурні опорні плани, плани зонування територій та детальні плани територій (за винятком відомостей, які відповідно до законодавства становлять інформацію з обмеженим доступом), їх проекти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/>
      </w:pPr>
      <w:bookmarkStart w:colFirst="0" w:colLast="0" w:name="_xlkkn4pnn8gm" w:id="1"/>
      <w:bookmarkEnd w:id="1"/>
      <w:r w:rsidDel="00000000" w:rsidR="00000000" w:rsidRPr="00000000">
        <w:rPr>
          <w:rtl w:val="0"/>
        </w:rPr>
        <w:t xml:space="preserve">1. Коротка довідка</w:t>
      </w:r>
    </w:p>
    <w:tbl>
      <w:tblPr>
        <w:tblStyle w:val="Table1"/>
        <w:tblW w:w="900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Характеристика</w:t>
            </w:r>
          </w:p>
        </w:tc>
      </w:tr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Нормативно-правові акти, які визначають створення, збір, зберігання, використання й поширення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регулювання містобудівної діяльності» від 17.02.2011 № 3038-VI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основи містобудування» від 16.11.1992 № 2780-XII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місцеве самоврядування в Україні» від 21.05.1997 № 280/97-ВР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ДБН Б.1.1-14:2012 «Склад та зміст детального плану території»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ДБН Б.1.1-15:2012 «Склад та зміст генерального плану населеного пункту»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Наказ Мінрегіону України «Про затвердження Вимог до структури і формату оприлюднення відомостей про містобудівну документацію у мережі Інтернет» від 15.08.2018 № 220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Інформація, що створюється, збирається, зберігається й поширюється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Склад і зміст схеми планування та планів зонування територій визначений державними будівельними нормами (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ДБН Б.1.1-15:2012</w:t>
              </w:r>
            </w:hyperlink>
            <w:r w:rsidDel="00000000" w:rsidR="00000000" w:rsidRPr="00000000">
              <w:rPr>
                <w:rtl w:val="0"/>
              </w:rPr>
              <w:t xml:space="preserve"> і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ДБН Б.1.1-14:2012</w:t>
              </w:r>
            </w:hyperlink>
            <w:r w:rsidDel="00000000" w:rsidR="00000000" w:rsidRPr="00000000">
              <w:rPr>
                <w:rtl w:val="0"/>
              </w:rPr>
              <w:t xml:space="preserve">). Процедура громадського обговорення (стаття 21 Закону України «Про регулювання містобудівної діяльності») передбачає оприлюднення проектів містобудівної документації.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Способи оновлення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Затвердження і внесення змін до містобудівної документації, оприлюднення проектів.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Частота оновлення інформації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Позапланово (протягом трьох робочих днів з моменту внесення змін)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Тип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Структуровані, геопросторові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Формати файлів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Для текстових матеріалів — RTF, DOC, </w:t>
            </w:r>
            <w:r w:rsidDel="00000000" w:rsidR="00000000" w:rsidRPr="00000000">
              <w:rPr>
                <w:rtl w:val="0"/>
              </w:rPr>
              <w:t xml:space="preserve">DOCX </w:t>
            </w:r>
            <w:r w:rsidDel="00000000" w:rsidR="00000000" w:rsidRPr="00000000">
              <w:rPr>
                <w:rtl w:val="0"/>
              </w:rPr>
              <w:t xml:space="preserve">PDFa</w:t>
            </w:r>
            <w:r w:rsidDel="00000000" w:rsidR="00000000" w:rsidRPr="00000000">
              <w:rPr>
                <w:rtl w:val="0"/>
              </w:rPr>
              <w:t xml:space="preserve">, для графічних — GeoTIFF, SHP, DMF, MID/MIF, DXF, XML, GeoJSON, GPX, LOC, ARINC, AIXM, GIF, TIFF, JPG, JPEG, PNG.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spacing w:line="276" w:lineRule="auto"/>
        <w:rPr/>
      </w:pPr>
      <w:bookmarkStart w:colFirst="0" w:colLast="0" w:name="_u3689hvdevb0" w:id="2"/>
      <w:bookmarkEnd w:id="2"/>
      <w:r w:rsidDel="00000000" w:rsidR="00000000" w:rsidRPr="00000000">
        <w:rPr>
          <w:rtl w:val="0"/>
        </w:rPr>
        <w:t xml:space="preserve">2. Огляд нормативно-правової бази</w:t>
      </w:r>
    </w:p>
    <w:p w:rsidR="00000000" w:rsidDel="00000000" w:rsidP="00000000" w:rsidRDefault="00000000" w:rsidRPr="00000000" w14:paraId="0000001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Склад та зміст генерального плану й детальних планів території визначені відповідно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ДБН Б.1.1-15:2012</w:t>
        </w:r>
      </w:hyperlink>
      <w:r w:rsidDel="00000000" w:rsidR="00000000" w:rsidRPr="00000000">
        <w:rPr>
          <w:rtl w:val="0"/>
        </w:rPr>
        <w:t xml:space="preserve"> і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ДБН Б.1.1-14:2012</w:t>
        </w:r>
      </w:hyperlink>
      <w:r w:rsidDel="00000000" w:rsidR="00000000" w:rsidRPr="00000000">
        <w:rPr>
          <w:rtl w:val="0"/>
        </w:rPr>
        <w:t xml:space="preserve">. В обох випадках містобудівна документація включає текстову й графічну частини. Основні строки та вимоги до оприлюднення проектів містобудівної документації визначені частинами 3-6 статті 21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Закону України «Про регулювання містобудівної діяльності»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276" w:lineRule="auto"/>
        <w:rPr/>
      </w:pPr>
      <w:bookmarkStart w:colFirst="0" w:colLast="0" w:name="_p00o4aenhxzj" w:id="3"/>
      <w:bookmarkEnd w:id="3"/>
      <w:r w:rsidDel="00000000" w:rsidR="00000000" w:rsidRPr="00000000">
        <w:rPr>
          <w:rtl w:val="0"/>
        </w:rPr>
        <w:t xml:space="preserve">3. Підготовка даних та структура набору</w:t>
      </w:r>
    </w:p>
    <w:p w:rsidR="00000000" w:rsidDel="00000000" w:rsidP="00000000" w:rsidRDefault="00000000" w:rsidRPr="00000000" w14:paraId="0000001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Відповідно до пункту 10 вимог, затверджених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Наказом Мінрегіону України від 15.08.2018 № 220</w:t>
        </w:r>
      </w:hyperlink>
      <w:r w:rsidDel="00000000" w:rsidR="00000000" w:rsidRPr="00000000">
        <w:rPr>
          <w:rtl w:val="0"/>
        </w:rPr>
        <w:t xml:space="preserve">, текстові матеріали містобудівної документації оприлюднюються у форматах RTF, DOC, DOCX або у PDF (з текстовим змістом).</w:t>
      </w:r>
    </w:p>
    <w:p w:rsidR="00000000" w:rsidDel="00000000" w:rsidP="00000000" w:rsidRDefault="00000000" w:rsidRPr="00000000" w14:paraId="0000001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Графічні матеріали містобудівної документації рекомендовано оприлюднювати у форматах файлів, які підтримують векторну графіку (GeoTIFF, SHP, DMF, MID/MIF, DXF, XML, GeoJSON, GPX, LOC, ARINC, AIXM). За відсутності даних у векторних форматах допускається оприлюднення даних у графічних форматах GIF, TIFF, JPG, JPEG, PNG. Доступ до даних може бути також наданий через відкритий API (інтерфейс прикладного програмування) </w:t>
      </w:r>
      <w:r w:rsidDel="00000000" w:rsidR="00000000" w:rsidRPr="00000000">
        <w:rPr>
          <w:rtl w:val="0"/>
        </w:rPr>
        <w:t xml:space="preserve">геоінформаційних</w:t>
      </w:r>
      <w:r w:rsidDel="00000000" w:rsidR="00000000" w:rsidRPr="00000000">
        <w:rPr>
          <w:rtl w:val="0"/>
        </w:rPr>
        <w:t xml:space="preserve"> порталів або WMS/WMTS підключення. Просторові дані оприлюднюються в державній геодезичній системі координат УСК-2000.</w:t>
      </w:r>
    </w:p>
    <w:p w:rsidR="00000000" w:rsidDel="00000000" w:rsidP="00000000" w:rsidRDefault="00000000" w:rsidRPr="00000000" w14:paraId="00000016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Розпорядники мають оприлюднювати всі графічні матеріали містобудівної документації, крім тих, що становлять інформацію з обмеженим доступом. Кожен ресурс у наборі може представляти: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текстову частину містобудівної документації;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один графічний матеріал;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декілька графічних матеріалів (якщо формат файлу підтримує шари геопросторових даних).</w:t>
      </w:r>
    </w:p>
    <w:p w:rsidR="00000000" w:rsidDel="00000000" w:rsidP="00000000" w:rsidRDefault="00000000" w:rsidRPr="00000000" w14:paraId="0000001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Назви ресурсів мають містити найменування матеріалів містобудівної документації, а описи — інформацію про нормативно-правові акти, якими затверджені дані документи.</w:t>
      </w:r>
    </w:p>
    <w:p w:rsidR="00000000" w:rsidDel="00000000" w:rsidP="00000000" w:rsidRDefault="00000000" w:rsidRPr="00000000" w14:paraId="0000001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Під час закупівлі послуг із розробки містобудівної документації органам місцевого самоврядування рекомендовано обов’язково визначати в тендерній документації та угодах умову передачі розробником графічних матеріалів містобудівної документації у форматах, що підтримують векторну графіку. У разі необхідності отримання детальних роз'яснень рекомендовано ознайомитись з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Методичними рекомендаціями щодо опублікування в мережі інтернет містобудівної документації (BRDO, 2019)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1"/>
        <w:spacing w:line="276" w:lineRule="auto"/>
        <w:rPr/>
      </w:pPr>
      <w:bookmarkStart w:colFirst="0" w:colLast="0" w:name="_ayzcnxf60j46" w:id="4"/>
      <w:bookmarkEnd w:id="4"/>
      <w:r w:rsidDel="00000000" w:rsidR="00000000" w:rsidRPr="00000000">
        <w:rPr>
          <w:rtl w:val="0"/>
        </w:rPr>
        <w:t xml:space="preserve">4. Оформлення паспортів наборів та ресурсів</w:t>
      </w:r>
    </w:p>
    <w:tbl>
      <w:tblPr>
        <w:tblStyle w:val="Table2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trHeight w:val="11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0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Зверніть увагу!</w:t>
            </w:r>
            <w:r w:rsidDel="00000000" w:rsidR="00000000" w:rsidRPr="00000000">
              <w:rPr>
                <w:rtl w:val="0"/>
              </w:rPr>
              <w:t xml:space="preserve"> Назва набору має відповідати Переліку, затвердженому Постановою КМУ № 835 (зі змінами). Також вона може включати назву розпорядника або населеного пункту, з яким пов’язані дані. Це полегшує пошук набору в пошукових системах.</w:t>
            </w:r>
          </w:p>
        </w:tc>
      </w:tr>
    </w:tbl>
    <w:p w:rsidR="00000000" w:rsidDel="00000000" w:rsidP="00000000" w:rsidRDefault="00000000" w:rsidRPr="00000000" w14:paraId="0000001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1 — Приклад паспорта набору даних на data.gov.ua</w:t>
      </w:r>
    </w:p>
    <w:tbl>
      <w:tblPr>
        <w:tblStyle w:val="Table3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35"/>
        <w:gridCol w:w="6210"/>
        <w:tblGridChange w:id="0">
          <w:tblGrid>
            <w:gridCol w:w="2835"/>
            <w:gridCol w:w="6210"/>
          </w:tblGrid>
        </w:tblGridChange>
      </w:tblGrid>
      <w:tr>
        <w:trPr>
          <w:trHeight w:val="100" w:hRule="atLeast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 набору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Генеральні плани населених пунктів, історико-архітектурні опорні плани, плани зонування територій та детальні плани територій міста Харкова, їх проекти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Відомості про мову інформації, яка міститься у наборі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Українська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26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Частота оновлення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Відразу після внесення змін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shd w:fill="fcfcfc" w:val="clear"/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6.37795275590554" w:type="dxa"/>
              <w:left w:w="96.37795275590554" w:type="dxa"/>
              <w:bottom w:w="96.37795275590554" w:type="dxa"/>
              <w:right w:w="96.37795275590554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Набір містить текстові та графічні матеріали генерального плану населеного пункту, історико-архітектурні опорні плани, плани зонування територій та детальні плани територій. Генеральний план, затверджений Рішенням Харківської міської ради «Про затвердження змін до генерального плану м. Харкова» від 27.02.2013 № 1023/13.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2A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Підстава та призначення збору інформації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Закон України «Про регулювання містобудівної діяльності» від 17.02.2011 № 3038-VI, Закон України «Про основи містобудування» від 16.11.1992 № 2780-XII, ДБН Б.1.1-14:2012 «Склад та зміст детального плану території», ДБН Б.1.1-15:2012 «Склад та зміст генерального плану населеного пункту»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2C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Ключові слова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план, містобудування, основні положення, містобудівна документація, текстові матеріали, графічні матеріали, генеральний план, детальний план території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E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Відповідальна особа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Симоненко Олена Петрівна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Адреса електронної пошти відповідальної особи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o.symonenko@example.gov.ua</w:t>
            </w:r>
          </w:p>
        </w:tc>
      </w:tr>
    </w:tbl>
    <w:p w:rsidR="00000000" w:rsidDel="00000000" w:rsidP="00000000" w:rsidRDefault="00000000" w:rsidRPr="00000000" w14:paraId="00000032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2 — Приклад паспорта ресурсу «Пояснювальна записка Генерального плану міста Харків»</w:t>
      </w:r>
    </w:p>
    <w:tbl>
      <w:tblPr>
        <w:tblStyle w:val="Table4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05"/>
        <w:gridCol w:w="6240"/>
        <w:tblGridChange w:id="0">
          <w:tblGrid>
            <w:gridCol w:w="2805"/>
            <w:gridCol w:w="6240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Пояснювальна записка Генерального плану міста Харкова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Генеральний план, затверджений Рішенням Харківської міської ради «Про затвердження змін до генерального плану м. Харкова» від 27.02.2013 № 1023/13.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DOCX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3 — Приклад паспорта ресурсу «Основні положення Генерального плану міста Харкова»</w:t>
      </w:r>
    </w:p>
    <w:tbl>
      <w:tblPr>
        <w:tblStyle w:val="Table5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05"/>
        <w:gridCol w:w="6240"/>
        <w:tblGridChange w:id="0">
          <w:tblGrid>
            <w:gridCol w:w="2805"/>
            <w:gridCol w:w="6240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Основні положення Генерального плану міста Харкова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Генеральний план, затверджений Рішенням Харківської міської ради «Про затвердження змін до генерального плану м. Харкова» від 27.02.2013 № 1023/13.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44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DOCX</w:t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4 — Приклад паспорта ресурсу «Схема розташування населеного пункту в системі розселення»</w:t>
      </w:r>
    </w:p>
    <w:tbl>
      <w:tblPr>
        <w:tblStyle w:val="Table6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05"/>
        <w:gridCol w:w="6240"/>
        <w:tblGridChange w:id="0">
          <w:tblGrid>
            <w:gridCol w:w="2805"/>
            <w:gridCol w:w="6240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Схема розташування населеного пункту в системі розселення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Графічні матеріали Генерального плану міста Харкова, затверджені Рішенням Харківської міської ради «Про затвердження змін до генерального плану м. Харкова» від 27.02.2013 № 1023/13.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4E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SHP</w:t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5 — Приклад паспорта ресурсу «План існуючого використання території»</w:t>
      </w:r>
    </w:p>
    <w:tbl>
      <w:tblPr>
        <w:tblStyle w:val="Table7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05"/>
        <w:gridCol w:w="6240"/>
        <w:tblGridChange w:id="0">
          <w:tblGrid>
            <w:gridCol w:w="2805"/>
            <w:gridCol w:w="6240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План існуючого використання території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Графічні матеріали Генерального плану міста Харкова, затверджені Рішенням Харківської міської ради «Про затвердження змін до генерального плану м. Харкова» від 27.02.2013 № 1023/13.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58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SHP</w:t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6 — Приклад паспорта ресурсу «Схема існуючих планувальних обмежень»</w:t>
      </w:r>
    </w:p>
    <w:tbl>
      <w:tblPr>
        <w:tblStyle w:val="Table8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05"/>
        <w:gridCol w:w="6240"/>
        <w:tblGridChange w:id="0">
          <w:tblGrid>
            <w:gridCol w:w="2805"/>
            <w:gridCol w:w="6240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Схема існуючих планувальних обмежень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Графічні матеріали Генерального плану міста Харкова, затверджені Рішенням Харківської міської ради «Про затвердження змін до генерального плану м. Харкова» від 27.02.2013 № 1023/13.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62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SHP</w:t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line="276" w:lineRule="auto"/>
        <w:rPr/>
      </w:pPr>
      <w:bookmarkStart w:colFirst="0" w:colLast="0" w:name="_uxn7dxcfyaw9" w:id="5"/>
      <w:bookmarkEnd w:id="5"/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zakon.rada.gov.ua/laws/show/z1044-18" TargetMode="External"/><Relationship Id="rId10" Type="http://schemas.openxmlformats.org/officeDocument/2006/relationships/hyperlink" Target="https://zakon.rada.gov.ua/rada/show/v0358858-12" TargetMode="External"/><Relationship Id="rId13" Type="http://schemas.openxmlformats.org/officeDocument/2006/relationships/hyperlink" Target="https://zakon.rada.gov.ua/rada/show/v0107858-12" TargetMode="External"/><Relationship Id="rId12" Type="http://schemas.openxmlformats.org/officeDocument/2006/relationships/hyperlink" Target="https://zakon.rada.gov.ua/rada/show/v0358858-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akon.rada.gov.ua/rada/show/v0107858-12" TargetMode="External"/><Relationship Id="rId15" Type="http://schemas.openxmlformats.org/officeDocument/2006/relationships/hyperlink" Target="https://zakon.rada.gov.ua/rada/show/v0107858-12" TargetMode="External"/><Relationship Id="rId14" Type="http://schemas.openxmlformats.org/officeDocument/2006/relationships/hyperlink" Target="https://zakon.rada.gov.ua/rada/show/v0358858-12" TargetMode="External"/><Relationship Id="rId17" Type="http://schemas.openxmlformats.org/officeDocument/2006/relationships/hyperlink" Target="https://zakon.rada.gov.ua/laws/show/z1044-18" TargetMode="External"/><Relationship Id="rId16" Type="http://schemas.openxmlformats.org/officeDocument/2006/relationships/hyperlink" Target="https://zakon.rada.gov.ua/laws/show/3038-17" TargetMode="External"/><Relationship Id="rId5" Type="http://schemas.openxmlformats.org/officeDocument/2006/relationships/styles" Target="styles.xml"/><Relationship Id="rId6" Type="http://schemas.openxmlformats.org/officeDocument/2006/relationships/hyperlink" Target="https://zakon.rada.gov.ua/laws/show/3038-17" TargetMode="External"/><Relationship Id="rId18" Type="http://schemas.openxmlformats.org/officeDocument/2006/relationships/hyperlink" Target="http://brdo.com.ua/wp-content/uploads/2017/10/Metodychni-rekomendatsiyi.pdf" TargetMode="External"/><Relationship Id="rId7" Type="http://schemas.openxmlformats.org/officeDocument/2006/relationships/hyperlink" Target="https://zakon.rada.gov.ua/laws/show/2780-12" TargetMode="External"/><Relationship Id="rId8" Type="http://schemas.openxmlformats.org/officeDocument/2006/relationships/hyperlink" Target="https://zakon.rada.gov.ua/laws/show/280/97-%D0%B2%D1%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