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4h4wi12as5x6" w:id="0"/>
      <w:bookmarkEnd w:id="0"/>
      <w:r w:rsidDel="00000000" w:rsidR="00000000" w:rsidRPr="00000000">
        <w:rPr>
          <w:rtl w:val="0"/>
        </w:rPr>
        <w:t xml:space="preserve">Схеми планування територій та плани зонування територій (для сільських, селищних, міських рад)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основи містобудування» від 16.11.1992 № 2780-XII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охорону культурної спадщини» від 08.06.2000 № 1805-III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Б.1.1-21:2017 Склад та зміст схеми планування території, на якій реалізуються повноваження сільських, селищних, міських рад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Б.1.1-22:2017 Склад та зміст плану зонування території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Мінрегіону України «Про затвердження Вимог до структури і формату оприлюднення відомостей про містобудівну документацію у мережі Інтернет» від 15.08.2018 № 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Склад і зміст схеми планування та планів зонування територій, визначений державними будівельними нормами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Б.1.1-21:2017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Б.1.1-22:2017</w:t>
              </w:r>
            </w:hyperlink>
            <w:r w:rsidDel="00000000" w:rsidR="00000000" w:rsidRPr="00000000">
              <w:rPr>
                <w:rtl w:val="0"/>
              </w:rPr>
              <w:t xml:space="preserve">). Документи включають текстову і графічну частину (геопросторові дані).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Затвердження та внесення змін до містобудівної документації.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Структуровані, Геопросторові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Для текстових матеріалів — RTF, DOC, DOCX PDFa; для графічних — GeoTIFF, SHP, DMF, MID/MIF, DXF, XML, GeoJSON, GPX, LOC, ARINC, AIXM,  GIF, TIFF, JPG, JPEG, PNG.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Склад і зміст схем планування територій, визначений пунктом 4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ДБН Б.1.1-21:2017</w:t>
        </w:r>
      </w:hyperlink>
      <w:r w:rsidDel="00000000" w:rsidR="00000000" w:rsidRPr="00000000">
        <w:rPr>
          <w:rtl w:val="0"/>
        </w:rPr>
        <w:t xml:space="preserve">, а планів зонування — пунктом 5 - 6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ДБН Б.1.1-22:2017</w:t>
        </w:r>
      </w:hyperlink>
      <w:r w:rsidDel="00000000" w:rsidR="00000000" w:rsidRPr="00000000">
        <w:rPr>
          <w:rtl w:val="0"/>
        </w:rPr>
        <w:t xml:space="preserve">. У обох випадках містобудівна документація включає текстову й графічну частини.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пункту 10 вимог, затверджених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Наказом Мінрегіону України від 15.08.2018 № 220</w:t>
        </w:r>
      </w:hyperlink>
      <w:r w:rsidDel="00000000" w:rsidR="00000000" w:rsidRPr="00000000">
        <w:rPr>
          <w:rtl w:val="0"/>
        </w:rPr>
        <w:t xml:space="preserve">, текстові матеріали містобудівної документації оприлюднюються у форматах RTF, DOC, DOCX або у PDF (з текстовим змістом).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Графічні матеріали містобудівної документації рекомендовано оприлюднювати у форматах файлів, які підтримують векторну графіку (GeoTIFF, SHP, DMF, MID/MIF, DXF, XML, GeoJSON, GPX, LOC, ARINC, AIXM). Доступ до даних може бути також наданий через відкритий API (інтерфейс прикладного програмування) </w:t>
      </w:r>
      <w:r w:rsidDel="00000000" w:rsidR="00000000" w:rsidRPr="00000000">
        <w:rPr>
          <w:rtl w:val="0"/>
        </w:rPr>
        <w:t xml:space="preserve">геоінформаційних</w:t>
      </w:r>
      <w:r w:rsidDel="00000000" w:rsidR="00000000" w:rsidRPr="00000000">
        <w:rPr>
          <w:rtl w:val="0"/>
        </w:rPr>
        <w:t xml:space="preserve"> порталів або WMS/WMTS підключення. Просторові дані оприлюднюються в державній геодезичній системі координат УСК-2000. За відсутності даних у векторних форматах, допускається оприлюднення даних у графічних форматах GIF, TIFF, JPG (JPEG), PNG. 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Розпорядники мають оприлюднювати всі графічні матеріали містобудівної документації, крім тих, що становлять інформацію з обмеженим доступом. Кожен ресурс у наборі може представляти: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текстову частину містобудівної документації;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графічний матеріал;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декілька графічних матеріалів (якщо формат файлу підтримує шари геопросторових даних).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Назви ресурсів мають містити найменування матеріалів містобудівної документації, а описи — інформацію про нормативно-правові акти, якими затверджені дані документи.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Під час закупівлі послуг з розробки містобудівної документації органам місцевого самоврядування рекомендовано обов’язково визначати в тендерній документації та угодах умову передачі розробником графічних матеріалів містобудівної документації у форматах, що підтримують векторну графіку. У разі необхідності отримання детальних роз'яснень рекомендовано ознайомитись з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Методичними рекомендаціями щодо опублікування в мережі інтернет містобудівної документації (BRDO, 2019)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увагу.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Схеми планування територій та плани зонування території міста Харків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текстові та графічні матеріали Плану зонування міста (зонінг) міста Харків, що затверджена Рішенням Харківської міської ради  від 27.02.2013 р № 1023/13. До графічних матеріалів входить схема зонування, історико-архітектурний опорний план, схема планувальних обмежень, план червоних ліній вулиць.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регулювання містобудівної діяльності» від 17.02.2011 № 3038-VI, Закон України «Про основи містобудування» від 16.11.1992 № 2780-XII,  Закон України «Про охорону культурної спадщини» від 08.06.2000 № 1805-III, Рішення Харківської міської ради «Про затвердження плану зонування міста Харків» від 27.02.2013 р № 1023/13.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план, схема, зонінг, зонування, план зонування, схема планування, містобудування, містобудівна документація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«Текстова частина»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Текстова частина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Текстова частина Плану зонування міста (зонінг) міста Харків, затвердженого Рішенням Харківської міської ради «Про затвердження плану зонування міста Харкова» від 27.02.2013 р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DOCX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3 — Приклад паспорта ресурсу «Схема зонування»</w:t>
      </w:r>
    </w:p>
    <w:tbl>
      <w:tblPr>
        <w:tblStyle w:val="Table5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Схема зонування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Графічні матеріали Плану зонування міста (зонінг) міста Харків, затвердженого Рішенням Харківської міської ради «Про затвердження плану зонування міста Харкова» від 27.02.2013 р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SHP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4 — Приклад паспорта ресурсу «План червоних ліній вулиць»</w:t>
      </w:r>
    </w:p>
    <w:tbl>
      <w:tblPr>
        <w:tblStyle w:val="Table6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План червоних ліній вулиць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Графічні матеріали Плану зонування міста (зонінг) міста Харків, затвердженого Рішенням Харківської міської ради «Про затвердження плану зонування міста Харкова» від 27.02.2013 р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spacing w:line="276" w:lineRule="auto"/>
        <w:rPr/>
      </w:pPr>
      <w:bookmarkStart w:colFirst="0" w:colLast="0" w:name="_uxn7dxcfyaw9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inregion.gov.ua/wp-content/uploads/2018/05/DBN-B-1.1-22.pdf" TargetMode="External"/><Relationship Id="rId10" Type="http://schemas.openxmlformats.org/officeDocument/2006/relationships/hyperlink" Target="http://www.minregion.gov.ua/wp-content/uploads/2018/04/B1121.pdf" TargetMode="External"/><Relationship Id="rId13" Type="http://schemas.openxmlformats.org/officeDocument/2006/relationships/hyperlink" Target="http://www.minregion.gov.ua/wp-content/uploads/2018/04/B1121.pdf" TargetMode="External"/><Relationship Id="rId12" Type="http://schemas.openxmlformats.org/officeDocument/2006/relationships/hyperlink" Target="https://zakon.rada.gov.ua/laws/show/z1044-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280/97-%D0%B2%D1%80" TargetMode="External"/><Relationship Id="rId15" Type="http://schemas.openxmlformats.org/officeDocument/2006/relationships/hyperlink" Target="http://www.minregion.gov.ua/wp-content/uploads/2018/04/B1121.pdf" TargetMode="External"/><Relationship Id="rId14" Type="http://schemas.openxmlformats.org/officeDocument/2006/relationships/hyperlink" Target="http://www.minregion.gov.ua/wp-content/uploads/2018/05/DBN-B-1.1-22.pdf" TargetMode="External"/><Relationship Id="rId17" Type="http://schemas.openxmlformats.org/officeDocument/2006/relationships/hyperlink" Target="https://zakon.rada.gov.ua/laws/show/z1044-18" TargetMode="External"/><Relationship Id="rId16" Type="http://schemas.openxmlformats.org/officeDocument/2006/relationships/hyperlink" Target="http://www.minregion.gov.ua/wp-content/uploads/2018/05/DBN-B-1.1-2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3038-17" TargetMode="External"/><Relationship Id="rId18" Type="http://schemas.openxmlformats.org/officeDocument/2006/relationships/hyperlink" Target="http://brdo.com.ua/wp-content/uploads/2017/10/Metodychni-rekomendatsiyi.pdf" TargetMode="External"/><Relationship Id="rId7" Type="http://schemas.openxmlformats.org/officeDocument/2006/relationships/hyperlink" Target="https://zakon.rada.gov.ua/laws/show/2780-12" TargetMode="External"/><Relationship Id="rId8" Type="http://schemas.openxmlformats.org/officeDocument/2006/relationships/hyperlink" Target="https://zakon.rada.gov.ua/laws/show/1805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