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4h4wi12as5x6" w:id="0"/>
      <w:bookmarkEnd w:id="0"/>
      <w:r w:rsidDel="00000000" w:rsidR="00000000" w:rsidRPr="00000000">
        <w:rPr>
          <w:rtl w:val="0"/>
        </w:rPr>
        <w:t xml:space="preserve">Основні положення генеральних планів населених пунктів та детальних планів територій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xlkkn4pnn8gm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76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регулювання містобудівної діяльності» від 17.02.2011 № 3038-VI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основи містобудування» від 16.11.1992 № 2780-XII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Б.1.1-14:2012 «Склад та зміст детального плану території»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ДБН Б.1.1-15:2012 «Склад та зміст генерального плану населеного пункту»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Наказ Мінрегіону України «Про затвердження Вимог до структури і формату оприлюднення відомостей про містобудівну документацію у мережі Інтернет» від 15.08.2018 № 220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й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Основні положення є складовою генерального плану населеного пункту. Детальні вимоги до їх змісту визначені пунктом 5.4 ДБН Б.1.1-15:2012.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Затвердження та внесення змін до містобудівної документації.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Текстові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рекомендовані RTF, DOC, DOCX, </w:t>
            </w:r>
            <w:r w:rsidDel="00000000" w:rsidR="00000000" w:rsidRPr="00000000">
              <w:rPr>
                <w:rtl w:val="0"/>
              </w:rPr>
              <w:t xml:space="preserve">PDFa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u3689hvdevb0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2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Склад та зміст генерального плану населеного пункту визначений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ДБН Б.1.1-15:2012</w:t>
        </w:r>
      </w:hyperlink>
      <w:r w:rsidDel="00000000" w:rsidR="00000000" w:rsidRPr="00000000">
        <w:rPr>
          <w:rtl w:val="0"/>
        </w:rPr>
        <w:t xml:space="preserve">. Відповідно до пункту 5.2. текстові матеріали генерального плану включають: пояснювальну записку й основні положення. Основні положення оформлюються як окремий том. Детальні вимоги до їх змісту визначені пунктом 5.4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ДБН Б.1.1-15:2012</w:t>
        </w:r>
      </w:hyperlink>
      <w:r w:rsidDel="00000000" w:rsidR="00000000" w:rsidRPr="00000000">
        <w:rPr>
          <w:rtl w:val="0"/>
        </w:rPr>
        <w:t xml:space="preserve">. Склад та зміст детальних планів території визначається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ДБН Б.1.1-14:2012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/>
      </w:pPr>
      <w:bookmarkStart w:colFirst="0" w:colLast="0" w:name="_mtidjmckvvz7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Відповідно до пункту 10 вимог, затверджених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Наказом Мінрегіону України від 15.08.2018 № 220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текстові матеріали містобудівної документації оприлюднюються у форматах RTF, DOC, DOCX або у PDF (з текстовим змістом). Кожен ресурс у наборі представляє основні положення генерального плану населеного пункту або детальних планів території. Назви ресурсів мають містити найменування матеріалів містобудівної документації, а описи — інформацію про нормативно-правові акти, якими затверджені дані документи.</w:t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 разі необхідності отримання детальних роз'яснень рекомендовано ознайомитись з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Методичними рекомендаціями щодо опублікування в мережі інтернет містобудівної документації (BRDO, 2019)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1"/>
        <w:spacing w:line="276" w:lineRule="auto"/>
        <w:rPr/>
      </w:pPr>
      <w:bookmarkStart w:colFirst="0" w:colLast="0" w:name="_ayzcnxf60j46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паспорта набору даних на data.gov.ua</w:t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35"/>
        <w:gridCol w:w="6210"/>
        <w:tblGridChange w:id="0">
          <w:tblGrid>
            <w:gridCol w:w="2835"/>
            <w:gridCol w:w="621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Основні положення генерального плану та детальних планів територій міста Харкова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 про мову інформації, яка міститься у наборі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Відразу після внесення змін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96.37795275590554" w:type="dxa"/>
              <w:left w:w="96.37795275590554" w:type="dxa"/>
              <w:bottom w:w="96.37795275590554" w:type="dxa"/>
              <w:right w:w="96.37795275590554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Набір містить основні положення генерального плану міста Харкова, а також текстові матеріали детальних планів територій.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Закон України «Про регулювання містобудівної діяльності» від 17.02.2011 № 3038-VI, Закон України «Про основи містобудування» від 16.11.1992 № 2780-XII, Закон України «Про місцеве самоврядування в Україні» від 21.05.1997 № 280/97-ВР, Рішення Харківської міської ради «Про затвердження змін до генерального плану м. Харкова» від 27.02.2013 р № 1023/13.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план, містобудування, основні положення, містобудівна документація, текстові матеріали, генеральний план, детальний план території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«Основні положення»</w:t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805"/>
        <w:gridCol w:w="6240"/>
        <w:tblGridChange w:id="0">
          <w:tblGrid>
            <w:gridCol w:w="2805"/>
            <w:gridCol w:w="624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Основні положення генерального плану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Генеральний план, затверджений Рішенням Харківської міської ради «Про затвердження змін до генерального плану м. Харкова» від 27.02.2013 р № 1023/13.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akon.rada.gov.ua/laws/show/z1044-18" TargetMode="External"/><Relationship Id="rId10" Type="http://schemas.openxmlformats.org/officeDocument/2006/relationships/hyperlink" Target="https://zakon.rada.gov.ua/rada/show/v0358858-12" TargetMode="External"/><Relationship Id="rId13" Type="http://schemas.openxmlformats.org/officeDocument/2006/relationships/hyperlink" Target="http://www.minregion.gov.ua/wp-content/uploads/2017/12/19.1.-DBN-B.1.1-152012.-Sklad-ta-zmist-generalnogo-pla.pdf" TargetMode="External"/><Relationship Id="rId12" Type="http://schemas.openxmlformats.org/officeDocument/2006/relationships/hyperlink" Target="http://www.minregion.gov.ua/wp-content/uploads/2017/12/19.1.-DBN-B.1.1-152012.-Sklad-ta-zmist-generalnogo-pla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rada/show/v0107858-12" TargetMode="External"/><Relationship Id="rId15" Type="http://schemas.openxmlformats.org/officeDocument/2006/relationships/hyperlink" Target="https://zakon.rada.gov.ua/laws/show/z1044-18" TargetMode="External"/><Relationship Id="rId14" Type="http://schemas.openxmlformats.org/officeDocument/2006/relationships/hyperlink" Target="https://zakon.rada.gov.ua/rada/show/v0107858-12" TargetMode="External"/><Relationship Id="rId16" Type="http://schemas.openxmlformats.org/officeDocument/2006/relationships/hyperlink" Target="http://brdo.com.ua/wp-content/uploads/2017/10/Metodychni-rekomendatsiyi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3038-17" TargetMode="External"/><Relationship Id="rId7" Type="http://schemas.openxmlformats.org/officeDocument/2006/relationships/hyperlink" Target="https://zakon.rada.gov.ua/laws/show/2780-12" TargetMode="External"/><Relationship Id="rId8" Type="http://schemas.openxmlformats.org/officeDocument/2006/relationships/hyperlink" Target="https://zakon.rada.gov.ua/laws/show/280/97-%D0%B2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