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Pr>
      <w:r>
        <w:rPr>
          <w:rFonts w:ascii="Calibri" w:hAnsi="Calibri"/>
          <w:b/>
          <w:color w:val="0B2545"/>
          <w:sz w:val="54"/>
        </w:rPr>
        <w:t>MyCodeAgent</w:t>
      </w:r>
    </w:p>
    <w:p>
      <w:pPr>
        <w:spacing w:after="360"/>
      </w:pPr>
      <w:r>
        <w:rPr>
          <w:rFonts w:ascii="Calibri" w:hAnsi="Calibri"/>
          <w:color w:val="5B6573"/>
          <w:sz w:val="30"/>
        </w:rPr>
        <w:t>High-Level Architecture for Governed Multi-Agent Software Delivery</w:t>
      </w:r>
    </w:p>
    <w:tbl>
      <w:tblPr>
        <w:tblW w:type="dxa" w:w="9360"/>
        <w:jc w:val="left"/>
        <w:tblLayout w:type="fixed"/>
        <w:tblLook w:firstColumn="1" w:firstRow="1" w:lastColumn="0" w:lastRow="0" w:noHBand="0" w:noVBand="1" w:val="04A0"/>
        <w:tblInd w:w="120" w:type="dxa"/>
        <w:tblBorders>
          <w:top w:val="single" w:sz="6" w:space="0" w:color="B7C9DE"/>
          <w:left w:val="single" w:sz="6" w:space="0" w:color="B7C9DE"/>
          <w:bottom w:val="single" w:sz="6" w:space="0" w:color="B7C9DE"/>
          <w:right w:val="single" w:sz="6" w:space="0" w:color="B7C9DE"/>
          <w:insideH w:val="single" w:sz="6" w:space="0" w:color="B7C9DE"/>
          <w:insideV w:val="single" w:sz="6" w:space="0" w:color="B7C9DE"/>
        </w:tblBorders>
      </w:tblPr>
      <w:tblGrid>
        <w:gridCol w:w="9360"/>
      </w:tblGrid>
      <w:tr>
        <w:tc>
          <w:tcPr>
            <w:tcW w:type="dxa" w:w="9360"/>
            <w:tcMar>
              <w:top w:w="80" w:type="dxa"/>
              <w:start w:w="120" w:type="dxa"/>
              <w:bottom w:w="80" w:type="dxa"/>
              <w:end w:w="120" w:type="dxa"/>
            </w:tcMar>
            <w:vAlign w:val="center"/>
            <w:shd w:fill="F4F7FA"/>
          </w:tcPr>
          <w:p>
            <w:pPr>
              <w:spacing w:after="0" w:line="259" w:lineRule="auto"/>
            </w:pPr>
            <w:r>
              <w:rPr>
                <w:rFonts w:ascii="Calibri" w:hAnsi="Calibri"/>
                <w:b/>
                <w:color w:val="2E74B5"/>
                <w:sz w:val="20"/>
              </w:rPr>
              <w:t xml:space="preserve">Purpose  </w:t>
            </w:r>
            <w:r>
              <w:rPr>
                <w:rFonts w:ascii="Calibri" w:hAnsi="Calibri"/>
                <w:color w:val="1F2937"/>
                <w:sz w:val="20"/>
              </w:rPr>
              <w:t>Provide a controlled, auditable path from a clearly defined software task to reviewed code and a pull request—while preserving human governance over scope, policy, and delivery.</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2100"/>
        <w:gridCol w:w="3400"/>
        <w:gridCol w:w="3860"/>
      </w:tblGrid>
      <w:tr>
        <w:tc>
          <w:tcPr>
            <w:tcW w:type="dxa" w:w="2100"/>
            <w:tcMar>
              <w:top w:w="80" w:type="dxa"/>
              <w:start w:w="120" w:type="dxa"/>
              <w:bottom w:w="80" w:type="dxa"/>
              <w:end w:w="120" w:type="dxa"/>
            </w:tcMar>
            <w:vAlign w:val="center"/>
            <w:shd w:fill="E8EEF5"/>
          </w:tcPr>
          <w:p>
            <w:pPr>
              <w:spacing w:after="0" w:line="252" w:lineRule="auto"/>
              <w:jc w:val="left"/>
            </w:pPr>
            <w:r>
              <w:rPr>
                <w:rFonts w:ascii="Calibri" w:hAnsi="Calibri"/>
                <w:b/>
                <w:color w:val="0B2545"/>
                <w:sz w:val="19"/>
              </w:rPr>
              <w:t>Audience</w:t>
            </w:r>
          </w:p>
        </w:tc>
        <w:tc>
          <w:tcPr>
            <w:tcW w:type="dxa" w:w="3400"/>
            <w:tcMar>
              <w:top w:w="80" w:type="dxa"/>
              <w:start w:w="120" w:type="dxa"/>
              <w:bottom w:w="80" w:type="dxa"/>
              <w:end w:w="120" w:type="dxa"/>
            </w:tcMar>
            <w:vAlign w:val="center"/>
            <w:shd w:fill="E8EEF5"/>
          </w:tcPr>
          <w:p>
            <w:pPr>
              <w:spacing w:after="0" w:line="252" w:lineRule="auto"/>
              <w:jc w:val="left"/>
            </w:pPr>
            <w:r>
              <w:rPr>
                <w:rFonts w:ascii="Calibri" w:hAnsi="Calibri"/>
                <w:b/>
                <w:color w:val="0B2545"/>
                <w:sz w:val="19"/>
              </w:rPr>
              <w:t>Document purpose</w:t>
            </w:r>
          </w:p>
        </w:tc>
        <w:tc>
          <w:tcPr>
            <w:tcW w:type="dxa" w:w="3860"/>
            <w:tcMar>
              <w:top w:w="80" w:type="dxa"/>
              <w:start w:w="120" w:type="dxa"/>
              <w:bottom w:w="80" w:type="dxa"/>
              <w:end w:w="120" w:type="dxa"/>
            </w:tcMar>
            <w:vAlign w:val="center"/>
            <w:shd w:fill="E8EEF5"/>
          </w:tcPr>
          <w:p>
            <w:pPr>
              <w:spacing w:after="0" w:line="252" w:lineRule="auto"/>
              <w:jc w:val="left"/>
            </w:pPr>
            <w:r>
              <w:rPr>
                <w:rFonts w:ascii="Calibri" w:hAnsi="Calibri"/>
                <w:b/>
                <w:color w:val="0B2545"/>
                <w:sz w:val="19"/>
              </w:rPr>
              <w:t>Scope</w:t>
            </w:r>
          </w:p>
        </w:tc>
      </w:tr>
      <w:tr>
        <w:tc>
          <w:tcPr>
            <w:tcW w:type="dxa" w:w="2100"/>
          </w:tcPr>
          <w:p>
            <w:pPr>
              <w:spacing w:after="0" w:line="252" w:lineRule="auto"/>
              <w:jc w:val="left"/>
            </w:pPr>
            <w:r>
              <w:rPr>
                <w:rFonts w:ascii="Calibri" w:hAnsi="Calibri"/>
                <w:b w:val="0"/>
                <w:color w:val="1F2937"/>
                <w:sz w:val="19"/>
              </w:rPr>
              <w:t>Business and technology stakeholders</w:t>
            </w:r>
          </w:p>
        </w:tc>
        <w:tc>
          <w:tcPr>
            <w:tcW w:type="dxa" w:w="3400"/>
          </w:tcPr>
          <w:p>
            <w:pPr>
              <w:spacing w:after="0" w:line="252" w:lineRule="auto"/>
              <w:jc w:val="left"/>
            </w:pPr>
            <w:r>
              <w:rPr>
                <w:rFonts w:ascii="Calibri" w:hAnsi="Calibri"/>
                <w:b w:val="0"/>
                <w:color w:val="1F2937"/>
                <w:sz w:val="19"/>
              </w:rPr>
              <w:t>Explain the operating model and control points</w:t>
            </w:r>
          </w:p>
        </w:tc>
        <w:tc>
          <w:tcPr>
            <w:tcW w:type="dxa" w:w="3860"/>
          </w:tcPr>
          <w:p>
            <w:pPr>
              <w:spacing w:after="0" w:line="252" w:lineRule="auto"/>
              <w:jc w:val="left"/>
            </w:pPr>
            <w:r>
              <w:rPr>
                <w:rFonts w:ascii="Calibri" w:hAnsi="Calibri"/>
                <w:b w:val="0"/>
                <w:color w:val="1F2937"/>
                <w:sz w:val="19"/>
              </w:rPr>
              <w:t>High-level architecture; not a product specification or security certification</w:t>
            </w:r>
          </w:p>
        </w:tc>
      </w:tr>
    </w:tbl>
    <w:p>
      <w:pPr>
        <w:spacing w:after="40"/>
      </w:pPr>
    </w:p>
    <w:p>
      <w:pPr>
        <w:pStyle w:val="Heading1"/>
        <w:keepNext/>
      </w:pPr>
      <w:r>
        <w:t>1. Problem statement</w:t>
      </w:r>
    </w:p>
    <w:p>
      <w:pPr>
        <w:spacing w:after="120" w:line="264" w:lineRule="auto"/>
      </w:pPr>
      <w:r>
        <w:rPr>
          <w:rFonts w:ascii="Calibri" w:hAnsi="Calibri"/>
          <w:color w:val="1F2937"/>
          <w:sz w:val="21"/>
        </w:rPr>
        <w:t>Engineering teams increasingly use AI assistants to accelerate routine software delivery, but unstructured use introduces practical risks: inconsistent task interpretation, missing tests, uncontrolled tool actions, long-running loops, weak review evidence, and unclear accountability for changes sent to source control.</w:t>
      </w:r>
    </w:p>
    <w:p>
      <w:pPr>
        <w:spacing w:after="120" w:line="264" w:lineRule="auto"/>
      </w:pPr>
      <w:r>
        <w:rPr>
          <w:rFonts w:ascii="Calibri" w:hAnsi="Calibri"/>
          <w:color w:val="1F2937"/>
          <w:sz w:val="21"/>
        </w:rPr>
        <w:t>The challenge is not only generating code. The platform must coordinate specialized agents through a repeatable delivery process, enforce boundaries before side effects occur, and create evidence that a client can inspect after each task.</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2900"/>
        <w:gridCol w:w="6460"/>
      </w:tblGrid>
      <w:tr>
        <w:tc>
          <w:tcPr>
            <w:tcW w:type="dxa" w:w="2900"/>
            <w:tcMar>
              <w:top w:w="80" w:type="dxa"/>
              <w:start w:w="120" w:type="dxa"/>
              <w:bottom w:w="80" w:type="dxa"/>
              <w:end w:w="120" w:type="dxa"/>
            </w:tcMar>
            <w:vAlign w:val="center"/>
            <w:shd w:fill="E8EEF5"/>
          </w:tcPr>
          <w:p>
            <w:pPr>
              <w:spacing w:after="0" w:line="252" w:lineRule="auto"/>
              <w:jc w:val="left"/>
            </w:pPr>
            <w:r>
              <w:rPr>
                <w:rFonts w:ascii="Calibri" w:hAnsi="Calibri"/>
                <w:b/>
                <w:color w:val="0B2545"/>
                <w:sz w:val="19"/>
              </w:rPr>
              <w:t>Business need</w:t>
            </w:r>
          </w:p>
        </w:tc>
        <w:tc>
          <w:tcPr>
            <w:tcW w:type="dxa" w:w="6460"/>
            <w:tcMar>
              <w:top w:w="80" w:type="dxa"/>
              <w:start w:w="120" w:type="dxa"/>
              <w:bottom w:w="80" w:type="dxa"/>
              <w:end w:w="120" w:type="dxa"/>
            </w:tcMar>
            <w:vAlign w:val="center"/>
            <w:shd w:fill="E8EEF5"/>
          </w:tcPr>
          <w:p>
            <w:pPr>
              <w:spacing w:after="0" w:line="252" w:lineRule="auto"/>
              <w:jc w:val="left"/>
            </w:pPr>
            <w:r>
              <w:rPr>
                <w:rFonts w:ascii="Calibri" w:hAnsi="Calibri"/>
                <w:b/>
                <w:color w:val="0B2545"/>
                <w:sz w:val="19"/>
              </w:rPr>
              <w:t>Architecture response</w:t>
            </w:r>
          </w:p>
        </w:tc>
      </w:tr>
      <w:tr>
        <w:tc>
          <w:tcPr>
            <w:tcW w:type="dxa" w:w="2900"/>
          </w:tcPr>
          <w:p>
            <w:pPr>
              <w:spacing w:after="0" w:line="252" w:lineRule="auto"/>
              <w:jc w:val="left"/>
            </w:pPr>
            <w:r>
              <w:rPr>
                <w:rFonts w:ascii="Calibri" w:hAnsi="Calibri"/>
                <w:b w:val="0"/>
                <w:color w:val="1F2937"/>
                <w:sz w:val="19"/>
              </w:rPr>
              <w:t>Repeatable execution</w:t>
            </w:r>
          </w:p>
        </w:tc>
        <w:tc>
          <w:tcPr>
            <w:tcW w:type="dxa" w:w="6460"/>
          </w:tcPr>
          <w:p>
            <w:pPr>
              <w:spacing w:after="0" w:line="252" w:lineRule="auto"/>
              <w:jc w:val="left"/>
            </w:pPr>
            <w:r>
              <w:rPr>
                <w:rFonts w:ascii="Calibri" w:hAnsi="Calibri"/>
                <w:b w:val="0"/>
                <w:color w:val="1F2937"/>
                <w:sz w:val="19"/>
              </w:rPr>
              <w:t>A task contract in TODO.md supplies the workspace, acceptance criteria, tests, and lifecycle status.</w:t>
            </w:r>
          </w:p>
        </w:tc>
      </w:tr>
      <w:tr>
        <w:tc>
          <w:tcPr>
            <w:tcW w:type="dxa" w:w="2900"/>
          </w:tcPr>
          <w:p>
            <w:pPr>
              <w:spacing w:after="0" w:line="252" w:lineRule="auto"/>
              <w:jc w:val="left"/>
            </w:pPr>
            <w:r>
              <w:rPr>
                <w:rFonts w:ascii="Calibri" w:hAnsi="Calibri"/>
                <w:b w:val="0"/>
                <w:color w:val="1F2937"/>
                <w:sz w:val="19"/>
              </w:rPr>
              <w:t>Separation of duties</w:t>
            </w:r>
          </w:p>
        </w:tc>
        <w:tc>
          <w:tcPr>
            <w:tcW w:type="dxa" w:w="6460"/>
          </w:tcPr>
          <w:p>
            <w:pPr>
              <w:spacing w:after="0" w:line="252" w:lineRule="auto"/>
              <w:jc w:val="left"/>
            </w:pPr>
            <w:r>
              <w:rPr>
                <w:rFonts w:ascii="Calibri" w:hAnsi="Calibri"/>
                <w:b w:val="0"/>
                <w:color w:val="1F2937"/>
                <w:sz w:val="19"/>
              </w:rPr>
              <w:t>Implementation and review can be delegated to separate model providers and agents.</w:t>
            </w:r>
          </w:p>
        </w:tc>
      </w:tr>
      <w:tr>
        <w:tc>
          <w:tcPr>
            <w:tcW w:type="dxa" w:w="2900"/>
          </w:tcPr>
          <w:p>
            <w:pPr>
              <w:spacing w:after="0" w:line="252" w:lineRule="auto"/>
              <w:jc w:val="left"/>
            </w:pPr>
            <w:r>
              <w:rPr>
                <w:rFonts w:ascii="Calibri" w:hAnsi="Calibri"/>
                <w:b w:val="0"/>
                <w:color w:val="1F2937"/>
                <w:sz w:val="19"/>
              </w:rPr>
              <w:t>Controlled delivery</w:t>
            </w:r>
          </w:p>
        </w:tc>
        <w:tc>
          <w:tcPr>
            <w:tcW w:type="dxa" w:w="6460"/>
          </w:tcPr>
          <w:p>
            <w:pPr>
              <w:spacing w:after="0" w:line="252" w:lineRule="auto"/>
              <w:jc w:val="left"/>
            </w:pPr>
            <w:r>
              <w:rPr>
                <w:rFonts w:ascii="Calibri" w:hAnsi="Calibri"/>
                <w:b w:val="0"/>
                <w:color w:val="1F2937"/>
                <w:sz w:val="19"/>
              </w:rPr>
              <w:t>Python—not an LLM—performs deterministic changelog, Git, push, and pull-request operations.</w:t>
            </w:r>
          </w:p>
        </w:tc>
      </w:tr>
      <w:tr>
        <w:tc>
          <w:tcPr>
            <w:tcW w:type="dxa" w:w="2900"/>
          </w:tcPr>
          <w:p>
            <w:pPr>
              <w:spacing w:after="0" w:line="252" w:lineRule="auto"/>
              <w:jc w:val="left"/>
            </w:pPr>
            <w:r>
              <w:rPr>
                <w:rFonts w:ascii="Calibri" w:hAnsi="Calibri"/>
                <w:b w:val="0"/>
                <w:color w:val="1F2937"/>
                <w:sz w:val="19"/>
              </w:rPr>
              <w:t>Operational visibility</w:t>
            </w:r>
          </w:p>
        </w:tc>
        <w:tc>
          <w:tcPr>
            <w:tcW w:type="dxa" w:w="6460"/>
          </w:tcPr>
          <w:p>
            <w:pPr>
              <w:spacing w:after="0" w:line="252" w:lineRule="auto"/>
              <w:jc w:val="left"/>
            </w:pPr>
            <w:r>
              <w:rPr>
                <w:rFonts w:ascii="Calibri" w:hAnsi="Calibri"/>
                <w:b w:val="0"/>
                <w:color w:val="1F2937"/>
                <w:sz w:val="19"/>
              </w:rPr>
              <w:t>Each task produces a time-stamped trace with stage outcomes and next actions.</w:t>
            </w:r>
          </w:p>
        </w:tc>
      </w:tr>
    </w:tbl>
    <w:p>
      <w:pPr>
        <w:spacing w:after="40"/>
      </w:pPr>
    </w:p>
    <w:p>
      <w:pPr>
        <w:pStyle w:val="Heading1"/>
        <w:keepNext/>
      </w:pPr>
      <w:r>
        <w:t>2. Solution architecture</w:t>
      </w:r>
    </w:p>
    <w:p>
      <w:pPr>
        <w:spacing w:after="120" w:line="264" w:lineRule="auto"/>
      </w:pPr>
      <w:r>
        <w:rPr>
          <w:rFonts w:ascii="Calibri" w:hAnsi="Calibri"/>
          <w:color w:val="1F2937"/>
          <w:sz w:val="21"/>
        </w:rPr>
        <w:t>MyCodeAgent is a governed agent-delivery harness. Omnigent coordinates the model-driven stages; a Python control plane owns task parsing, process limits, status transitions, logs, worktree isolation, and final delivery. This separation makes the LLM valuable for judgment-intensive code and review work while retaining deterministic controls around side effects.</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800"/>
        <w:gridCol w:w="2950"/>
        <w:gridCol w:w="4610"/>
      </w:tblGrid>
      <w:tr>
        <w:tc>
          <w:tcPr>
            <w:tcW w:type="dxa" w:w="1800"/>
            <w:tcMar>
              <w:top w:w="80" w:type="dxa"/>
              <w:start w:w="120" w:type="dxa"/>
              <w:bottom w:w="80" w:type="dxa"/>
              <w:end w:w="120" w:type="dxa"/>
            </w:tcMar>
            <w:vAlign w:val="center"/>
            <w:shd w:fill="E8EEF5"/>
          </w:tcPr>
          <w:p>
            <w:pPr>
              <w:spacing w:after="0" w:line="252" w:lineRule="auto"/>
              <w:jc w:val="left"/>
            </w:pPr>
            <w:r>
              <w:rPr>
                <w:rFonts w:ascii="Calibri" w:hAnsi="Calibri"/>
                <w:b/>
                <w:color w:val="0B2545"/>
                <w:sz w:val="19"/>
              </w:rPr>
              <w:t>Layer</w:t>
            </w:r>
          </w:p>
        </w:tc>
        <w:tc>
          <w:tcPr>
            <w:tcW w:type="dxa" w:w="2950"/>
            <w:tcMar>
              <w:top w:w="80" w:type="dxa"/>
              <w:start w:w="120" w:type="dxa"/>
              <w:bottom w:w="80" w:type="dxa"/>
              <w:end w:w="120" w:type="dxa"/>
            </w:tcMar>
            <w:vAlign w:val="center"/>
            <w:shd w:fill="E8EEF5"/>
          </w:tcPr>
          <w:p>
            <w:pPr>
              <w:spacing w:after="0" w:line="252" w:lineRule="auto"/>
              <w:jc w:val="left"/>
            </w:pPr>
            <w:r>
              <w:rPr>
                <w:rFonts w:ascii="Calibri" w:hAnsi="Calibri"/>
                <w:b/>
                <w:color w:val="0B2545"/>
                <w:sz w:val="19"/>
              </w:rPr>
              <w:t>Primary components</w:t>
            </w:r>
          </w:p>
        </w:tc>
        <w:tc>
          <w:tcPr>
            <w:tcW w:type="dxa" w:w="4610"/>
            <w:tcMar>
              <w:top w:w="80" w:type="dxa"/>
              <w:start w:w="120" w:type="dxa"/>
              <w:bottom w:w="80" w:type="dxa"/>
              <w:end w:w="120" w:type="dxa"/>
            </w:tcMar>
            <w:vAlign w:val="center"/>
            <w:shd w:fill="E8EEF5"/>
          </w:tcPr>
          <w:p>
            <w:pPr>
              <w:spacing w:after="0" w:line="252" w:lineRule="auto"/>
              <w:jc w:val="left"/>
            </w:pPr>
            <w:r>
              <w:rPr>
                <w:rFonts w:ascii="Calibri" w:hAnsi="Calibri"/>
                <w:b/>
                <w:color w:val="0B2545"/>
                <w:sz w:val="19"/>
              </w:rPr>
              <w:t>Responsibility</w:t>
            </w:r>
          </w:p>
        </w:tc>
      </w:tr>
      <w:tr>
        <w:tc>
          <w:tcPr>
            <w:tcW w:type="dxa" w:w="1800"/>
          </w:tcPr>
          <w:p>
            <w:pPr>
              <w:spacing w:after="0" w:line="252" w:lineRule="auto"/>
              <w:jc w:val="left"/>
            </w:pPr>
            <w:r>
              <w:rPr>
                <w:rFonts w:ascii="Calibri" w:hAnsi="Calibri"/>
                <w:b w:val="0"/>
                <w:color w:val="1F2937"/>
                <w:sz w:val="19"/>
              </w:rPr>
              <w:t>Task governance</w:t>
            </w:r>
          </w:p>
        </w:tc>
        <w:tc>
          <w:tcPr>
            <w:tcW w:type="dxa" w:w="2950"/>
          </w:tcPr>
          <w:p>
            <w:pPr>
              <w:spacing w:after="0" w:line="252" w:lineRule="auto"/>
              <w:jc w:val="left"/>
            </w:pPr>
            <w:r>
              <w:rPr>
                <w:rFonts w:ascii="Calibri" w:hAnsi="Calibri"/>
                <w:b w:val="0"/>
                <w:color w:val="1F2937"/>
                <w:sz w:val="19"/>
              </w:rPr>
              <w:t>TODO.md; task schema; status rules</w:t>
            </w:r>
          </w:p>
        </w:tc>
        <w:tc>
          <w:tcPr>
            <w:tcW w:type="dxa" w:w="4610"/>
          </w:tcPr>
          <w:p>
            <w:pPr>
              <w:spacing w:after="0" w:line="252" w:lineRule="auto"/>
              <w:jc w:val="left"/>
            </w:pPr>
            <w:r>
              <w:rPr>
                <w:rFonts w:ascii="Calibri" w:hAnsi="Calibri"/>
                <w:b w:val="0"/>
                <w:color w:val="1F2937"/>
                <w:sz w:val="19"/>
              </w:rPr>
              <w:t>Defines what can be worked on and what completion means.</w:t>
            </w:r>
          </w:p>
        </w:tc>
      </w:tr>
      <w:tr>
        <w:tc>
          <w:tcPr>
            <w:tcW w:type="dxa" w:w="1800"/>
          </w:tcPr>
          <w:p>
            <w:pPr>
              <w:spacing w:after="0" w:line="252" w:lineRule="auto"/>
              <w:jc w:val="left"/>
            </w:pPr>
            <w:r>
              <w:rPr>
                <w:rFonts w:ascii="Calibri" w:hAnsi="Calibri"/>
                <w:b w:val="0"/>
                <w:color w:val="1F2937"/>
                <w:sz w:val="19"/>
              </w:rPr>
              <w:t>Agent orchestration</w:t>
            </w:r>
          </w:p>
        </w:tc>
        <w:tc>
          <w:tcPr>
            <w:tcW w:type="dxa" w:w="2950"/>
          </w:tcPr>
          <w:p>
            <w:pPr>
              <w:spacing w:after="0" w:line="252" w:lineRule="auto"/>
              <w:jc w:val="left"/>
            </w:pPr>
            <w:r>
              <w:rPr>
                <w:rFonts w:ascii="Calibri" w:hAnsi="Calibri"/>
                <w:b w:val="0"/>
                <w:color w:val="1F2937"/>
                <w:sz w:val="19"/>
              </w:rPr>
              <w:t>coding_agent.yaml; Omnigent</w:t>
            </w:r>
          </w:p>
        </w:tc>
        <w:tc>
          <w:tcPr>
            <w:tcW w:type="dxa" w:w="4610"/>
          </w:tcPr>
          <w:p>
            <w:pPr>
              <w:spacing w:after="0" w:line="252" w:lineRule="auto"/>
              <w:jc w:val="left"/>
            </w:pPr>
            <w:r>
              <w:rPr>
                <w:rFonts w:ascii="Calibri" w:hAnsi="Calibri"/>
                <w:b w:val="0"/>
                <w:color w:val="1F2937"/>
                <w:sz w:val="19"/>
              </w:rPr>
              <w:t>Sequences implementation, testing, review, and bounded remediation.</w:t>
            </w:r>
          </w:p>
        </w:tc>
      </w:tr>
      <w:tr>
        <w:tc>
          <w:tcPr>
            <w:tcW w:type="dxa" w:w="1800"/>
          </w:tcPr>
          <w:p>
            <w:pPr>
              <w:spacing w:after="0" w:line="252" w:lineRule="auto"/>
              <w:jc w:val="left"/>
            </w:pPr>
            <w:r>
              <w:rPr>
                <w:rFonts w:ascii="Calibri" w:hAnsi="Calibri"/>
                <w:b w:val="0"/>
                <w:color w:val="1F2937"/>
                <w:sz w:val="19"/>
              </w:rPr>
              <w:t>Model execution</w:t>
            </w:r>
          </w:p>
        </w:tc>
        <w:tc>
          <w:tcPr>
            <w:tcW w:type="dxa" w:w="2950"/>
          </w:tcPr>
          <w:p>
            <w:pPr>
              <w:spacing w:after="0" w:line="252" w:lineRule="auto"/>
              <w:jc w:val="left"/>
            </w:pPr>
            <w:r>
              <w:rPr>
                <w:rFonts w:ascii="Calibri" w:hAnsi="Calibri"/>
                <w:b w:val="0"/>
                <w:color w:val="1F2937"/>
                <w:sz w:val="19"/>
              </w:rPr>
              <w:t>Claude implementation agent; Codex review agent (configurable)</w:t>
            </w:r>
          </w:p>
        </w:tc>
        <w:tc>
          <w:tcPr>
            <w:tcW w:type="dxa" w:w="4610"/>
          </w:tcPr>
          <w:p>
            <w:pPr>
              <w:spacing w:after="0" w:line="252" w:lineRule="auto"/>
              <w:jc w:val="left"/>
            </w:pPr>
            <w:r>
              <w:rPr>
                <w:rFonts w:ascii="Calibri" w:hAnsi="Calibri"/>
                <w:b w:val="0"/>
                <w:color w:val="1F2937"/>
                <w:sz w:val="19"/>
              </w:rPr>
              <w:t>Performs code changes and independent quality assessment.</w:t>
            </w:r>
          </w:p>
        </w:tc>
      </w:tr>
      <w:tr>
        <w:tc>
          <w:tcPr>
            <w:tcW w:type="dxa" w:w="1800"/>
          </w:tcPr>
          <w:p>
            <w:pPr>
              <w:spacing w:after="0" w:line="252" w:lineRule="auto"/>
              <w:jc w:val="left"/>
            </w:pPr>
            <w:r>
              <w:rPr>
                <w:rFonts w:ascii="Calibri" w:hAnsi="Calibri"/>
                <w:b w:val="0"/>
                <w:color w:val="1F2937"/>
                <w:sz w:val="19"/>
              </w:rPr>
              <w:t>Control plane</w:t>
            </w:r>
          </w:p>
        </w:tc>
        <w:tc>
          <w:tcPr>
            <w:tcW w:type="dxa" w:w="2950"/>
          </w:tcPr>
          <w:p>
            <w:pPr>
              <w:spacing w:after="0" w:line="252" w:lineRule="auto"/>
              <w:jc w:val="left"/>
            </w:pPr>
            <w:r>
              <w:rPr>
                <w:rFonts w:ascii="Calibri" w:hAnsi="Calibri"/>
                <w:b w:val="0"/>
                <w:color w:val="1F2937"/>
                <w:sz w:val="19"/>
              </w:rPr>
              <w:t>Python CLI and workflow modules</w:t>
            </w:r>
          </w:p>
        </w:tc>
        <w:tc>
          <w:tcPr>
            <w:tcW w:type="dxa" w:w="4610"/>
          </w:tcPr>
          <w:p>
            <w:pPr>
              <w:spacing w:after="0" w:line="252" w:lineRule="auto"/>
              <w:jc w:val="left"/>
            </w:pPr>
            <w:r>
              <w:rPr>
                <w:rFonts w:ascii="Calibri" w:hAnsi="Calibri"/>
                <w:b w:val="0"/>
                <w:color w:val="1F2937"/>
                <w:sz w:val="19"/>
              </w:rPr>
              <w:t>Launches stages, enforces limits, records traces, and validates reports.</w:t>
            </w:r>
          </w:p>
        </w:tc>
      </w:tr>
      <w:tr>
        <w:tc>
          <w:tcPr>
            <w:tcW w:type="dxa" w:w="1800"/>
          </w:tcPr>
          <w:p>
            <w:pPr>
              <w:spacing w:after="0" w:line="252" w:lineRule="auto"/>
              <w:jc w:val="left"/>
            </w:pPr>
            <w:r>
              <w:rPr>
                <w:rFonts w:ascii="Calibri" w:hAnsi="Calibri"/>
                <w:b w:val="0"/>
                <w:color w:val="1F2937"/>
                <w:sz w:val="19"/>
              </w:rPr>
              <w:t>Delivery automation</w:t>
            </w:r>
          </w:p>
        </w:tc>
        <w:tc>
          <w:tcPr>
            <w:tcW w:type="dxa" w:w="2950"/>
          </w:tcPr>
          <w:p>
            <w:pPr>
              <w:spacing w:after="0" w:line="252" w:lineRule="auto"/>
              <w:jc w:val="left"/>
            </w:pPr>
            <w:r>
              <w:rPr>
                <w:rFonts w:ascii="Calibri" w:hAnsi="Calibri"/>
                <w:b w:val="0"/>
                <w:color w:val="1F2937"/>
                <w:sz w:val="19"/>
              </w:rPr>
              <w:t>Git helper; GitHub CLI/API</w:t>
            </w:r>
          </w:p>
        </w:tc>
        <w:tc>
          <w:tcPr>
            <w:tcW w:type="dxa" w:w="4610"/>
          </w:tcPr>
          <w:p>
            <w:pPr>
              <w:spacing w:after="0" w:line="252" w:lineRule="auto"/>
              <w:jc w:val="left"/>
            </w:pPr>
            <w:r>
              <w:rPr>
                <w:rFonts w:ascii="Calibri" w:hAnsi="Calibri"/>
                <w:b w:val="0"/>
                <w:color w:val="1F2937"/>
                <w:sz w:val="19"/>
              </w:rPr>
              <w:t>Creates a PR only after the approved review gate is met.</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B7C9DE"/>
          <w:left w:val="single" w:sz="6" w:space="0" w:color="B7C9DE"/>
          <w:bottom w:val="single" w:sz="6" w:space="0" w:color="B7C9DE"/>
          <w:right w:val="single" w:sz="6" w:space="0" w:color="B7C9DE"/>
          <w:insideH w:val="single" w:sz="6" w:space="0" w:color="B7C9DE"/>
          <w:insideV w:val="single" w:sz="6" w:space="0" w:color="B7C9DE"/>
        </w:tblBorders>
      </w:tblPr>
      <w:tblGrid>
        <w:gridCol w:w="9360"/>
      </w:tblGrid>
      <w:tr>
        <w:tc>
          <w:tcPr>
            <w:tcW w:type="dxa" w:w="9360"/>
            <w:tcMar>
              <w:top w:w="80" w:type="dxa"/>
              <w:start w:w="120" w:type="dxa"/>
              <w:bottom w:w="80" w:type="dxa"/>
              <w:end w:w="120" w:type="dxa"/>
            </w:tcMar>
            <w:vAlign w:val="center"/>
            <w:shd w:fill="F4F7FA"/>
          </w:tcPr>
          <w:p>
            <w:pPr>
              <w:spacing w:after="0" w:line="259" w:lineRule="auto"/>
            </w:pPr>
            <w:r>
              <w:rPr>
                <w:rFonts w:ascii="Calibri" w:hAnsi="Calibri"/>
                <w:b/>
                <w:color w:val="2E74B5"/>
                <w:sz w:val="20"/>
              </w:rPr>
              <w:t xml:space="preserve">Design principle  </w:t>
            </w:r>
            <w:r>
              <w:rPr>
                <w:rFonts w:ascii="Calibri" w:hAnsi="Calibri"/>
                <w:color w:val="1F2937"/>
                <w:sz w:val="20"/>
              </w:rPr>
              <w:t>LLMs propose, implement, test, and review; deterministic Python services validate state and perform external side effects.</w:t>
            </w:r>
          </w:p>
        </w:tc>
      </w:tr>
    </w:tbl>
    <w:p>
      <w:pPr>
        <w:spacing w:after="40"/>
      </w:pPr>
    </w:p>
    <w:p>
      <w:pPr>
        <w:pStyle w:val="Heading1"/>
        <w:keepNext/>
      </w:pPr>
      <w:r>
        <w:t>3. Omnigent harness and multi-agent operating model</w:t>
      </w:r>
    </w:p>
    <w:p>
      <w:pPr>
        <w:spacing w:after="120" w:line="264" w:lineRule="auto"/>
      </w:pPr>
      <w:r>
        <w:rPr>
          <w:rFonts w:ascii="Calibri" w:hAnsi="Calibri"/>
          <w:color w:val="1F2937"/>
          <w:sz w:val="21"/>
        </w:rPr>
        <w:t>Omnigent acts as the agent harness: it interprets the workflow configuration, invokes the defined agent capabilities, and carries the task context between stages. The harness does not receive unrestricted authority to alter GitHub or task policy; those operations remain in the Python delivery layer.</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900"/>
        <w:gridCol w:w="1700"/>
        <w:gridCol w:w="5760"/>
      </w:tblGrid>
      <w:tr>
        <w:tc>
          <w:tcPr>
            <w:tcW w:type="dxa" w:w="1900"/>
            <w:tcMar>
              <w:top w:w="80" w:type="dxa"/>
              <w:start w:w="120" w:type="dxa"/>
              <w:bottom w:w="80" w:type="dxa"/>
              <w:end w:w="120" w:type="dxa"/>
            </w:tcMar>
            <w:vAlign w:val="center"/>
            <w:shd w:fill="E8EEF5"/>
          </w:tcPr>
          <w:p>
            <w:pPr>
              <w:spacing w:after="0" w:line="252" w:lineRule="auto"/>
              <w:jc w:val="left"/>
            </w:pPr>
            <w:r>
              <w:rPr>
                <w:rFonts w:ascii="Calibri" w:hAnsi="Calibri"/>
                <w:b/>
                <w:color w:val="0B2545"/>
                <w:sz w:val="19"/>
              </w:rPr>
              <w:t>Role</w:t>
            </w:r>
          </w:p>
        </w:tc>
        <w:tc>
          <w:tcPr>
            <w:tcW w:type="dxa" w:w="1700"/>
            <w:tcMar>
              <w:top w:w="80" w:type="dxa"/>
              <w:start w:w="120" w:type="dxa"/>
              <w:bottom w:w="80" w:type="dxa"/>
              <w:end w:w="120" w:type="dxa"/>
            </w:tcMar>
            <w:vAlign w:val="center"/>
            <w:shd w:fill="E8EEF5"/>
          </w:tcPr>
          <w:p>
            <w:pPr>
              <w:spacing w:after="0" w:line="252" w:lineRule="auto"/>
              <w:jc w:val="left"/>
            </w:pPr>
            <w:r>
              <w:rPr>
                <w:rFonts w:ascii="Calibri" w:hAnsi="Calibri"/>
                <w:b/>
                <w:color w:val="0B2545"/>
                <w:sz w:val="19"/>
              </w:rPr>
              <w:t>Illustrative agent</w:t>
            </w:r>
          </w:p>
        </w:tc>
        <w:tc>
          <w:tcPr>
            <w:tcW w:type="dxa" w:w="5760"/>
            <w:tcMar>
              <w:top w:w="80" w:type="dxa"/>
              <w:start w:w="120" w:type="dxa"/>
              <w:bottom w:w="80" w:type="dxa"/>
              <w:end w:w="120" w:type="dxa"/>
            </w:tcMar>
            <w:vAlign w:val="center"/>
            <w:shd w:fill="E8EEF5"/>
          </w:tcPr>
          <w:p>
            <w:pPr>
              <w:spacing w:after="0" w:line="252" w:lineRule="auto"/>
              <w:jc w:val="left"/>
            </w:pPr>
            <w:r>
              <w:rPr>
                <w:rFonts w:ascii="Calibri" w:hAnsi="Calibri"/>
                <w:b/>
                <w:color w:val="0B2545"/>
                <w:sz w:val="19"/>
              </w:rPr>
              <w:t>Accountability</w:t>
            </w:r>
          </w:p>
        </w:tc>
      </w:tr>
      <w:tr>
        <w:tc>
          <w:tcPr>
            <w:tcW w:type="dxa" w:w="1900"/>
          </w:tcPr>
          <w:p>
            <w:pPr>
              <w:spacing w:after="0" w:line="252" w:lineRule="auto"/>
              <w:jc w:val="left"/>
            </w:pPr>
            <w:r>
              <w:rPr>
                <w:rFonts w:ascii="Calibri" w:hAnsi="Calibri"/>
                <w:b w:val="0"/>
                <w:color w:val="1F2937"/>
                <w:sz w:val="19"/>
              </w:rPr>
              <w:t>Implementation agent</w:t>
            </w:r>
          </w:p>
        </w:tc>
        <w:tc>
          <w:tcPr>
            <w:tcW w:type="dxa" w:w="1700"/>
          </w:tcPr>
          <w:p>
            <w:pPr>
              <w:spacing w:after="0" w:line="252" w:lineRule="auto"/>
              <w:jc w:val="left"/>
            </w:pPr>
            <w:r>
              <w:rPr>
                <w:rFonts w:ascii="Calibri" w:hAnsi="Calibri"/>
                <w:b w:val="0"/>
                <w:color w:val="1F2937"/>
                <w:sz w:val="19"/>
              </w:rPr>
              <w:t>Claude</w:t>
            </w:r>
          </w:p>
        </w:tc>
        <w:tc>
          <w:tcPr>
            <w:tcW w:type="dxa" w:w="5760"/>
          </w:tcPr>
          <w:p>
            <w:pPr>
              <w:spacing w:after="0" w:line="252" w:lineRule="auto"/>
              <w:jc w:val="left"/>
            </w:pPr>
            <w:r>
              <w:rPr>
                <w:rFonts w:ascii="Calibri" w:hAnsi="Calibri"/>
                <w:b w:val="0"/>
                <w:color w:val="1F2937"/>
                <w:sz w:val="19"/>
              </w:rPr>
              <w:t>Reads the bounded task context; creates or changes code and tests; reports files changed and validation results.</w:t>
            </w:r>
          </w:p>
        </w:tc>
      </w:tr>
      <w:tr>
        <w:tc>
          <w:tcPr>
            <w:tcW w:type="dxa" w:w="1900"/>
          </w:tcPr>
          <w:p>
            <w:pPr>
              <w:spacing w:after="0" w:line="252" w:lineRule="auto"/>
              <w:jc w:val="left"/>
            </w:pPr>
            <w:r>
              <w:rPr>
                <w:rFonts w:ascii="Calibri" w:hAnsi="Calibri"/>
                <w:b w:val="0"/>
                <w:color w:val="1F2937"/>
                <w:sz w:val="19"/>
              </w:rPr>
              <w:t>Review agent</w:t>
            </w:r>
          </w:p>
        </w:tc>
        <w:tc>
          <w:tcPr>
            <w:tcW w:type="dxa" w:w="1700"/>
          </w:tcPr>
          <w:p>
            <w:pPr>
              <w:spacing w:after="0" w:line="252" w:lineRule="auto"/>
              <w:jc w:val="left"/>
            </w:pPr>
            <w:r>
              <w:rPr>
                <w:rFonts w:ascii="Calibri" w:hAnsi="Calibri"/>
                <w:b w:val="0"/>
                <w:color w:val="1F2937"/>
                <w:sz w:val="19"/>
              </w:rPr>
              <w:t>Codex</w:t>
            </w:r>
          </w:p>
        </w:tc>
        <w:tc>
          <w:tcPr>
            <w:tcW w:type="dxa" w:w="5760"/>
          </w:tcPr>
          <w:p>
            <w:pPr>
              <w:spacing w:after="0" w:line="252" w:lineRule="auto"/>
              <w:jc w:val="left"/>
            </w:pPr>
            <w:r>
              <w:rPr>
                <w:rFonts w:ascii="Calibri" w:hAnsi="Calibri"/>
                <w:b w:val="0"/>
                <w:color w:val="1F2937"/>
                <w:sz w:val="19"/>
              </w:rPr>
              <w:t>Independently reads the actual workspace and tests; checks task acceptance criteria, guardrails, and regressions; returns APPROVED or actionable findings.</w:t>
            </w:r>
          </w:p>
        </w:tc>
      </w:tr>
      <w:tr>
        <w:tc>
          <w:tcPr>
            <w:tcW w:type="dxa" w:w="1900"/>
          </w:tcPr>
          <w:p>
            <w:pPr>
              <w:spacing w:after="0" w:line="252" w:lineRule="auto"/>
              <w:jc w:val="left"/>
            </w:pPr>
            <w:r>
              <w:rPr>
                <w:rFonts w:ascii="Calibri" w:hAnsi="Calibri"/>
                <w:b w:val="0"/>
                <w:color w:val="1F2937"/>
                <w:sz w:val="19"/>
              </w:rPr>
              <w:t>Orchestrator</w:t>
            </w:r>
          </w:p>
        </w:tc>
        <w:tc>
          <w:tcPr>
            <w:tcW w:type="dxa" w:w="1700"/>
          </w:tcPr>
          <w:p>
            <w:pPr>
              <w:spacing w:after="0" w:line="252" w:lineRule="auto"/>
              <w:jc w:val="left"/>
            </w:pPr>
            <w:r>
              <w:rPr>
                <w:rFonts w:ascii="Calibri" w:hAnsi="Calibri"/>
                <w:b w:val="0"/>
                <w:color w:val="1F2937"/>
                <w:sz w:val="19"/>
              </w:rPr>
              <w:t>Omnigent</w:t>
            </w:r>
          </w:p>
        </w:tc>
        <w:tc>
          <w:tcPr>
            <w:tcW w:type="dxa" w:w="5760"/>
          </w:tcPr>
          <w:p>
            <w:pPr>
              <w:spacing w:after="0" w:line="252" w:lineRule="auto"/>
              <w:jc w:val="left"/>
            </w:pPr>
            <w:r>
              <w:rPr>
                <w:rFonts w:ascii="Calibri" w:hAnsi="Calibri"/>
                <w:b w:val="0"/>
                <w:color w:val="1F2937"/>
                <w:sz w:val="19"/>
              </w:rPr>
              <w:t>Runs the configured sequence and passes complete review findings to a single targeted remediation pass when allowed.</w:t>
            </w:r>
          </w:p>
        </w:tc>
      </w:tr>
      <w:tr>
        <w:tc>
          <w:tcPr>
            <w:tcW w:type="dxa" w:w="1900"/>
          </w:tcPr>
          <w:p>
            <w:pPr>
              <w:spacing w:after="0" w:line="252" w:lineRule="auto"/>
              <w:jc w:val="left"/>
            </w:pPr>
            <w:r>
              <w:rPr>
                <w:rFonts w:ascii="Calibri" w:hAnsi="Calibri"/>
                <w:b w:val="0"/>
                <w:color w:val="1F2937"/>
                <w:sz w:val="19"/>
              </w:rPr>
              <w:t>Control plane</w:t>
            </w:r>
          </w:p>
        </w:tc>
        <w:tc>
          <w:tcPr>
            <w:tcW w:type="dxa" w:w="1700"/>
          </w:tcPr>
          <w:p>
            <w:pPr>
              <w:spacing w:after="0" w:line="252" w:lineRule="auto"/>
              <w:jc w:val="left"/>
            </w:pPr>
            <w:r>
              <w:rPr>
                <w:rFonts w:ascii="Calibri" w:hAnsi="Calibri"/>
                <w:b w:val="0"/>
                <w:color w:val="1F2937"/>
                <w:sz w:val="19"/>
              </w:rPr>
              <w:t>Python</w:t>
            </w:r>
          </w:p>
        </w:tc>
        <w:tc>
          <w:tcPr>
            <w:tcW w:type="dxa" w:w="5760"/>
          </w:tcPr>
          <w:p>
            <w:pPr>
              <w:spacing w:after="0" w:line="252" w:lineRule="auto"/>
              <w:jc w:val="left"/>
            </w:pPr>
            <w:r>
              <w:rPr>
                <w:rFonts w:ascii="Calibri" w:hAnsi="Calibri"/>
                <w:b w:val="0"/>
                <w:color w:val="1F2937"/>
                <w:sz w:val="19"/>
              </w:rPr>
              <w:t>Applies timeouts, process cleanup, status updates, trace writing, Git policy checks, and post-approval delivery.</w:t>
            </w:r>
          </w:p>
        </w:tc>
      </w:tr>
    </w:tbl>
    <w:p>
      <w:pPr>
        <w:spacing w:after="40"/>
      </w:pPr>
    </w:p>
    <w:p>
      <w:pPr>
        <w:pStyle w:val="ListBullet"/>
        <w:spacing w:after="60" w:line="259" w:lineRule="auto"/>
      </w:pPr>
      <w:r>
        <w:rPr>
          <w:rFonts w:ascii="Calibri" w:hAnsi="Calibri"/>
          <w:color w:val="1F2937"/>
          <w:sz w:val="21"/>
        </w:rPr>
        <w:t>Provider choice is configurable: Claude can be assigned implementation while Codex performs review, or the assignments can be changed to suit cost, capability, and governance requirements.</w:t>
      </w:r>
    </w:p>
    <w:p>
      <w:pPr>
        <w:pStyle w:val="ListBullet"/>
        <w:spacing w:after="60" w:line="259" w:lineRule="auto"/>
      </w:pPr>
      <w:r>
        <w:rPr>
          <w:rFonts w:ascii="Calibri" w:hAnsi="Calibri"/>
          <w:color w:val="1F2937"/>
          <w:sz w:val="21"/>
        </w:rPr>
        <w:t>The reviewer is intentionally independent from implementation. It evaluates source and tests directly rather than relying only on a generated summary or Git diff.</w:t>
      </w:r>
    </w:p>
    <w:p>
      <w:pPr>
        <w:pStyle w:val="ListBullet"/>
        <w:spacing w:after="60" w:line="259" w:lineRule="auto"/>
      </w:pPr>
      <w:r>
        <w:rPr>
          <w:rFonts w:ascii="Calibri" w:hAnsi="Calibri"/>
          <w:color w:val="1F2937"/>
          <w:sz w:val="21"/>
        </w:rPr>
        <w:t>A review finding is fed back verbatim to the implementer for a scoped correction, then verified through a final review. The workflow is bounded to avoid uncontrolled loops.</w:t>
      </w:r>
    </w:p>
    <w:p>
      <w:pPr>
        <w:pStyle w:val="Heading1"/>
        <w:keepNext/>
      </w:pPr>
      <w:r>
        <w:t>4. Policies and guardrails</w:t>
      </w:r>
    </w:p>
    <w:p>
      <w:pPr>
        <w:spacing w:after="120" w:line="264" w:lineRule="auto"/>
      </w:pPr>
      <w:r>
        <w:rPr>
          <w:rFonts w:ascii="Calibri" w:hAnsi="Calibri"/>
          <w:color w:val="1F2937"/>
          <w:sz w:val="21"/>
        </w:rPr>
        <w:t>Controls are applied at two levels: platform-level agent policy and task-level delivery policy. Together they constrain both how agents act and what an individual task is permitted to change.</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800"/>
        <w:gridCol w:w="4400"/>
        <w:gridCol w:w="3160"/>
      </w:tblGrid>
      <w:tr>
        <w:tc>
          <w:tcPr>
            <w:tcW w:type="dxa" w:w="1800"/>
            <w:tcMar>
              <w:top w:w="80" w:type="dxa"/>
              <w:start w:w="120" w:type="dxa"/>
              <w:bottom w:w="80" w:type="dxa"/>
              <w:end w:w="120" w:type="dxa"/>
            </w:tcMar>
            <w:vAlign w:val="center"/>
            <w:shd w:fill="E8EEF5"/>
          </w:tcPr>
          <w:p>
            <w:pPr>
              <w:spacing w:after="0" w:line="252" w:lineRule="auto"/>
              <w:jc w:val="left"/>
            </w:pPr>
            <w:r>
              <w:rPr>
                <w:rFonts w:ascii="Calibri" w:hAnsi="Calibri"/>
                <w:b/>
                <w:color w:val="0B2545"/>
                <w:sz w:val="19"/>
              </w:rPr>
              <w:t>Control level</w:t>
            </w:r>
          </w:p>
        </w:tc>
        <w:tc>
          <w:tcPr>
            <w:tcW w:type="dxa" w:w="4400"/>
            <w:tcMar>
              <w:top w:w="80" w:type="dxa"/>
              <w:start w:w="120" w:type="dxa"/>
              <w:bottom w:w="80" w:type="dxa"/>
              <w:end w:w="120" w:type="dxa"/>
            </w:tcMar>
            <w:vAlign w:val="center"/>
            <w:shd w:fill="E8EEF5"/>
          </w:tcPr>
          <w:p>
            <w:pPr>
              <w:spacing w:after="0" w:line="252" w:lineRule="auto"/>
              <w:jc w:val="left"/>
            </w:pPr>
            <w:r>
              <w:rPr>
                <w:rFonts w:ascii="Calibri" w:hAnsi="Calibri"/>
                <w:b/>
                <w:color w:val="0B2545"/>
                <w:sz w:val="19"/>
              </w:rPr>
              <w:t>Examples</w:t>
            </w:r>
          </w:p>
        </w:tc>
        <w:tc>
          <w:tcPr>
            <w:tcW w:type="dxa" w:w="3160"/>
            <w:tcMar>
              <w:top w:w="80" w:type="dxa"/>
              <w:start w:w="120" w:type="dxa"/>
              <w:bottom w:w="80" w:type="dxa"/>
              <w:end w:w="120" w:type="dxa"/>
            </w:tcMar>
            <w:vAlign w:val="center"/>
            <w:shd w:fill="E8EEF5"/>
          </w:tcPr>
          <w:p>
            <w:pPr>
              <w:spacing w:after="0" w:line="252" w:lineRule="auto"/>
              <w:jc w:val="left"/>
            </w:pPr>
            <w:r>
              <w:rPr>
                <w:rFonts w:ascii="Calibri" w:hAnsi="Calibri"/>
                <w:b/>
                <w:color w:val="0B2545"/>
                <w:sz w:val="19"/>
              </w:rPr>
              <w:t>Why it matters</w:t>
            </w:r>
          </w:p>
        </w:tc>
      </w:tr>
      <w:tr>
        <w:tc>
          <w:tcPr>
            <w:tcW w:type="dxa" w:w="1800"/>
          </w:tcPr>
          <w:p>
            <w:pPr>
              <w:spacing w:after="0" w:line="252" w:lineRule="auto"/>
              <w:jc w:val="left"/>
            </w:pPr>
            <w:r>
              <w:rPr>
                <w:rFonts w:ascii="Calibri" w:hAnsi="Calibri"/>
                <w:b w:val="0"/>
                <w:color w:val="1F2937"/>
                <w:sz w:val="19"/>
              </w:rPr>
              <w:t>Agent-level policy</w:t>
            </w:r>
          </w:p>
        </w:tc>
        <w:tc>
          <w:tcPr>
            <w:tcW w:type="dxa" w:w="4400"/>
          </w:tcPr>
          <w:p>
            <w:pPr>
              <w:spacing w:after="0" w:line="252" w:lineRule="auto"/>
              <w:jc w:val="left"/>
            </w:pPr>
            <w:r>
              <w:rPr>
                <w:rFonts w:ascii="Calibri" w:hAnsi="Calibri"/>
                <w:b w:val="0"/>
                <w:color w:val="1F2937"/>
                <w:sz w:val="19"/>
              </w:rPr>
              <w:t>Serial stage ordering; one tool action at a time; explicit terminal report; bounded remediation; no agent-owned Git/PR execution.</w:t>
            </w:r>
          </w:p>
        </w:tc>
        <w:tc>
          <w:tcPr>
            <w:tcW w:type="dxa" w:w="3160"/>
          </w:tcPr>
          <w:p>
            <w:pPr>
              <w:spacing w:after="0" w:line="252" w:lineRule="auto"/>
              <w:jc w:val="left"/>
            </w:pPr>
            <w:r>
              <w:rPr>
                <w:rFonts w:ascii="Calibri" w:hAnsi="Calibri"/>
                <w:b w:val="0"/>
                <w:color w:val="1F2937"/>
                <w:sz w:val="19"/>
              </w:rPr>
              <w:t>Prevents ambiguous hand-offs, parallel side effects, and unbounded agent loops.</w:t>
            </w:r>
          </w:p>
        </w:tc>
      </w:tr>
      <w:tr>
        <w:tc>
          <w:tcPr>
            <w:tcW w:type="dxa" w:w="1800"/>
          </w:tcPr>
          <w:p>
            <w:pPr>
              <w:spacing w:after="0" w:line="252" w:lineRule="auto"/>
              <w:jc w:val="left"/>
            </w:pPr>
            <w:r>
              <w:rPr>
                <w:rFonts w:ascii="Calibri" w:hAnsi="Calibri"/>
                <w:b w:val="0"/>
                <w:color w:val="1F2937"/>
                <w:sz w:val="19"/>
              </w:rPr>
              <w:t>Task-level policy</w:t>
            </w:r>
          </w:p>
        </w:tc>
        <w:tc>
          <w:tcPr>
            <w:tcW w:type="dxa" w:w="4400"/>
          </w:tcPr>
          <w:p>
            <w:pPr>
              <w:spacing w:after="0" w:line="252" w:lineRule="auto"/>
              <w:jc w:val="left"/>
            </w:pPr>
            <w:r>
              <w:rPr>
                <w:rFonts w:ascii="Calibri" w:hAnsi="Calibri"/>
                <w:b w:val="0"/>
                <w:color w:val="1F2937"/>
                <w:sz w:val="19"/>
              </w:rPr>
              <w:t>Declared source workspace; acceptance criteria; named test command; status lifecycle; task-specific safety and runtime constraints.</w:t>
            </w:r>
          </w:p>
        </w:tc>
        <w:tc>
          <w:tcPr>
            <w:tcW w:type="dxa" w:w="3160"/>
          </w:tcPr>
          <w:p>
            <w:pPr>
              <w:spacing w:after="0" w:line="252" w:lineRule="auto"/>
              <w:jc w:val="left"/>
            </w:pPr>
            <w:r>
              <w:rPr>
                <w:rFonts w:ascii="Calibri" w:hAnsi="Calibri"/>
                <w:b w:val="0"/>
                <w:color w:val="1F2937"/>
                <w:sz w:val="19"/>
              </w:rPr>
              <w:t>Keeps agents within the intended business and technical scope.</w:t>
            </w:r>
          </w:p>
        </w:tc>
      </w:tr>
      <w:tr>
        <w:tc>
          <w:tcPr>
            <w:tcW w:type="dxa" w:w="1800"/>
          </w:tcPr>
          <w:p>
            <w:pPr>
              <w:spacing w:after="0" w:line="252" w:lineRule="auto"/>
              <w:jc w:val="left"/>
            </w:pPr>
            <w:r>
              <w:rPr>
                <w:rFonts w:ascii="Calibri" w:hAnsi="Calibri"/>
                <w:b w:val="0"/>
                <w:color w:val="1F2937"/>
                <w:sz w:val="19"/>
              </w:rPr>
              <w:t>Runtime guardrails</w:t>
            </w:r>
          </w:p>
        </w:tc>
        <w:tc>
          <w:tcPr>
            <w:tcW w:type="dxa" w:w="4400"/>
          </w:tcPr>
          <w:p>
            <w:pPr>
              <w:spacing w:after="0" w:line="252" w:lineRule="auto"/>
              <w:jc w:val="left"/>
            </w:pPr>
            <w:r>
              <w:rPr>
                <w:rFonts w:ascii="Calibri" w:hAnsi="Calibri"/>
                <w:b w:val="0"/>
                <w:color w:val="1F2937"/>
                <w:sz w:val="19"/>
              </w:rPr>
              <w:t>Timeouts; idle-watchdog handling; subprocess/process-group cleanup; output/report validation; redacted task logs.</w:t>
            </w:r>
          </w:p>
        </w:tc>
        <w:tc>
          <w:tcPr>
            <w:tcW w:type="dxa" w:w="3160"/>
          </w:tcPr>
          <w:p>
            <w:pPr>
              <w:spacing w:after="0" w:line="252" w:lineRule="auto"/>
              <w:jc w:val="left"/>
            </w:pPr>
            <w:r>
              <w:rPr>
                <w:rFonts w:ascii="Calibri" w:hAnsi="Calibri"/>
                <w:b w:val="0"/>
                <w:color w:val="1F2937"/>
                <w:sz w:val="19"/>
              </w:rPr>
              <w:t>Makes long-running execution observable and recoverable.</w:t>
            </w:r>
          </w:p>
        </w:tc>
      </w:tr>
      <w:tr>
        <w:tc>
          <w:tcPr>
            <w:tcW w:type="dxa" w:w="1800"/>
          </w:tcPr>
          <w:p>
            <w:pPr>
              <w:spacing w:after="0" w:line="252" w:lineRule="auto"/>
              <w:jc w:val="left"/>
            </w:pPr>
            <w:r>
              <w:rPr>
                <w:rFonts w:ascii="Calibri" w:hAnsi="Calibri"/>
                <w:b w:val="0"/>
                <w:color w:val="1F2937"/>
                <w:sz w:val="19"/>
              </w:rPr>
              <w:t>Delivery guardrails</w:t>
            </w:r>
          </w:p>
        </w:tc>
        <w:tc>
          <w:tcPr>
            <w:tcW w:type="dxa" w:w="4400"/>
          </w:tcPr>
          <w:p>
            <w:pPr>
              <w:spacing w:after="0" w:line="252" w:lineRule="auto"/>
              <w:jc w:val="left"/>
            </w:pPr>
            <w:r>
              <w:rPr>
                <w:rFonts w:ascii="Calibri" w:hAnsi="Calibri"/>
                <w:b w:val="0"/>
                <w:color w:val="1F2937"/>
                <w:sz w:val="19"/>
              </w:rPr>
              <w:t>Final APPROVED gate; approved remote and identity; explicit changelog/commit/push/PR sequence; worktree branch isolation.</w:t>
            </w:r>
          </w:p>
        </w:tc>
        <w:tc>
          <w:tcPr>
            <w:tcW w:type="dxa" w:w="3160"/>
          </w:tcPr>
          <w:p>
            <w:pPr>
              <w:spacing w:after="0" w:line="252" w:lineRule="auto"/>
              <w:jc w:val="left"/>
            </w:pPr>
            <w:r>
              <w:rPr>
                <w:rFonts w:ascii="Calibri" w:hAnsi="Calibri"/>
                <w:b w:val="0"/>
                <w:color w:val="1F2937"/>
                <w:sz w:val="19"/>
              </w:rPr>
              <w:t>Limits external changes to validated, auditable conditions.</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B7C9DE"/>
          <w:left w:val="single" w:sz="6" w:space="0" w:color="B7C9DE"/>
          <w:bottom w:val="single" w:sz="6" w:space="0" w:color="B7C9DE"/>
          <w:right w:val="single" w:sz="6" w:space="0" w:color="B7C9DE"/>
          <w:insideH w:val="single" w:sz="6" w:space="0" w:color="B7C9DE"/>
          <w:insideV w:val="single" w:sz="6" w:space="0" w:color="B7C9DE"/>
        </w:tblBorders>
      </w:tblPr>
      <w:tblGrid>
        <w:gridCol w:w="9360"/>
      </w:tblGrid>
      <w:tr>
        <w:tc>
          <w:tcPr>
            <w:tcW w:type="dxa" w:w="9360"/>
            <w:tcMar>
              <w:top w:w="80" w:type="dxa"/>
              <w:start w:w="120" w:type="dxa"/>
              <w:bottom w:w="80" w:type="dxa"/>
              <w:end w:w="120" w:type="dxa"/>
            </w:tcMar>
            <w:vAlign w:val="center"/>
            <w:shd w:fill="F4F7FA"/>
          </w:tcPr>
          <w:p>
            <w:pPr>
              <w:spacing w:after="0" w:line="259" w:lineRule="auto"/>
            </w:pPr>
            <w:r>
              <w:rPr>
                <w:rFonts w:ascii="Calibri" w:hAnsi="Calibri"/>
                <w:b/>
                <w:color w:val="7A5A00"/>
                <w:sz w:val="20"/>
              </w:rPr>
              <w:t xml:space="preserve">Important boundary  </w:t>
            </w:r>
            <w:r>
              <w:rPr>
                <w:rFonts w:ascii="Calibri" w:hAnsi="Calibri"/>
                <w:color w:val="1F2937"/>
                <w:sz w:val="20"/>
              </w:rPr>
              <w:t>Guardrails reduce operational risk but do not replace secure coding review, secrets management, dependency scanning, or human approval for high-impact releases.</w:t>
            </w:r>
          </w:p>
        </w:tc>
      </w:tr>
    </w:tbl>
    <w:p>
      <w:pPr>
        <w:spacing w:after="40"/>
      </w:pPr>
    </w:p>
    <w:p>
      <w:pPr>
        <w:pStyle w:val="Heading1"/>
        <w:keepNext/>
      </w:pPr>
      <w:r>
        <w:t>5. End-to-end task process</w:t>
      </w:r>
    </w:p>
    <w:p>
      <w:pPr>
        <w:spacing w:after="120" w:line="264" w:lineRule="auto"/>
      </w:pPr>
      <w:r>
        <w:rPr>
          <w:rFonts w:ascii="Calibri" w:hAnsi="Calibri"/>
          <w:color w:val="1F2937"/>
          <w:sz w:val="21"/>
        </w:rPr>
        <w:t>The task lifecycle is designed as a gated sequence. The Python control plane owns status changes and delivery; Omnigent owns the LLM collaboration inside the approved task boundary.</w:t>
      </w:r>
    </w:p>
    <w:tbl>
      <w:tblPr>
        <w:tblW w:type="dxa" w:w="9360"/>
        <w:jc w:val="left"/>
        <w:tblLayout w:type="fixed"/>
        <w:tblLook w:firstColumn="1" w:firstRow="1" w:lastColumn="0" w:lastRow="0" w:noHBand="0" w:noVBand="1" w:val="04A0"/>
        <w:tblInd w:w="120" w:type="dxa"/>
        <w:tblBorders>
          <w:top w:val="single" w:sz="6" w:space="0" w:color="C7D4E2"/>
          <w:left w:val="single" w:sz="6" w:space="0" w:color="C7D4E2"/>
          <w:bottom w:val="single" w:sz="6" w:space="0" w:color="C7D4E2"/>
          <w:right w:val="single" w:sz="6" w:space="0" w:color="C7D4E2"/>
          <w:insideH w:val="single" w:sz="6" w:space="0" w:color="C7D4E2"/>
          <w:insideV w:val="single" w:sz="6" w:space="0" w:color="C7D4E2"/>
        </w:tblBorders>
      </w:tblPr>
      <w:tblGrid>
        <w:gridCol w:w="720"/>
        <w:gridCol w:w="8640"/>
      </w:tblGrid>
      <w:tr>
        <w:tc>
          <w:tcPr>
            <w:tcW w:type="dxa" w:w="720"/>
            <w:tcMar>
              <w:top w:w="80" w:type="dxa"/>
              <w:start w:w="120" w:type="dxa"/>
              <w:bottom w:w="80" w:type="dxa"/>
              <w:end w:w="120" w:type="dxa"/>
            </w:tcMar>
            <w:vAlign w:val="center"/>
            <w:shd w:fill="2E74B5"/>
          </w:tcPr>
          <w:p>
            <w:pPr>
              <w:spacing w:after="0" w:line="252" w:lineRule="auto"/>
              <w:jc w:val="center"/>
            </w:pPr>
            <w:r>
              <w:rPr>
                <w:rFonts w:ascii="Calibri" w:hAnsi="Calibri"/>
                <w:b/>
                <w:color w:val="FFFFFF"/>
                <w:sz w:val="28"/>
              </w:rPr>
              <w:t>1</w:t>
            </w:r>
          </w:p>
        </w:tc>
        <w:tc>
          <w:tcPr>
            <w:tcW w:type="dxa" w:w="8640"/>
            <w:tcMar>
              <w:top w:w="80" w:type="dxa"/>
              <w:start w:w="120" w:type="dxa"/>
              <w:bottom w:w="80" w:type="dxa"/>
              <w:end w:w="120" w:type="dxa"/>
            </w:tcMar>
            <w:vAlign w:val="center"/>
            <w:shd w:fill="F7F9FC"/>
          </w:tcPr>
          <w:p>
            <w:pPr>
              <w:spacing w:after="0"/>
            </w:pPr>
            <w:r>
              <w:rPr>
                <w:rFonts w:ascii="Calibri" w:hAnsi="Calibri"/>
                <w:b/>
                <w:color w:val="0B2545"/>
                <w:sz w:val="20"/>
              </w:rPr>
              <w:t xml:space="preserve">Task intake — </w:t>
            </w:r>
            <w:r>
              <w:rPr>
                <w:rFonts w:ascii="Calibri" w:hAnsi="Calibri"/>
                <w:color w:val="1F2937"/>
                <w:sz w:val="20"/>
              </w:rPr>
              <w:t>A ready task in TODO.md defines scope, workspace, tests, and delivery rules.</w:t>
            </w:r>
          </w:p>
        </w:tc>
      </w:tr>
    </w:tbl>
    <w:p>
      <w:pPr>
        <w:spacing w:before="0" w:after="0"/>
        <w:jc w:val="center"/>
      </w:pPr>
      <w:r>
        <w:rPr>
          <w:rFonts w:ascii="Calibri" w:hAnsi="Calibri"/>
          <w:b/>
          <w:color w:val="5B6573"/>
          <w:sz w:val="24"/>
        </w:rPr>
        <w:t>↓</w:t>
      </w:r>
    </w:p>
    <w:tbl>
      <w:tblPr>
        <w:tblW w:type="dxa" w:w="9360"/>
        <w:jc w:val="left"/>
        <w:tblLayout w:type="fixed"/>
        <w:tblLook w:firstColumn="1" w:firstRow="1" w:lastColumn="0" w:lastRow="0" w:noHBand="0" w:noVBand="1" w:val="04A0"/>
        <w:tblInd w:w="120" w:type="dxa"/>
        <w:tblBorders>
          <w:top w:val="single" w:sz="6" w:space="0" w:color="C7D4E2"/>
          <w:left w:val="single" w:sz="6" w:space="0" w:color="C7D4E2"/>
          <w:bottom w:val="single" w:sz="6" w:space="0" w:color="C7D4E2"/>
          <w:right w:val="single" w:sz="6" w:space="0" w:color="C7D4E2"/>
          <w:insideH w:val="single" w:sz="6" w:space="0" w:color="C7D4E2"/>
          <w:insideV w:val="single" w:sz="6" w:space="0" w:color="C7D4E2"/>
        </w:tblBorders>
      </w:tblPr>
      <w:tblGrid>
        <w:gridCol w:w="720"/>
        <w:gridCol w:w="8640"/>
      </w:tblGrid>
      <w:tr>
        <w:tc>
          <w:tcPr>
            <w:tcW w:type="dxa" w:w="720"/>
            <w:tcMar>
              <w:top w:w="80" w:type="dxa"/>
              <w:start w:w="120" w:type="dxa"/>
              <w:bottom w:w="80" w:type="dxa"/>
              <w:end w:w="120" w:type="dxa"/>
            </w:tcMar>
            <w:vAlign w:val="center"/>
            <w:shd w:fill="2E74B5"/>
          </w:tcPr>
          <w:p>
            <w:pPr>
              <w:spacing w:after="0" w:line="252" w:lineRule="auto"/>
              <w:jc w:val="center"/>
            </w:pPr>
            <w:r>
              <w:rPr>
                <w:rFonts w:ascii="Calibri" w:hAnsi="Calibri"/>
                <w:b/>
                <w:color w:val="FFFFFF"/>
                <w:sz w:val="28"/>
              </w:rPr>
              <w:t>2</w:t>
            </w:r>
          </w:p>
        </w:tc>
        <w:tc>
          <w:tcPr>
            <w:tcW w:type="dxa" w:w="8640"/>
            <w:tcMar>
              <w:top w:w="80" w:type="dxa"/>
              <w:start w:w="120" w:type="dxa"/>
              <w:bottom w:w="80" w:type="dxa"/>
              <w:end w:w="120" w:type="dxa"/>
            </w:tcMar>
            <w:vAlign w:val="center"/>
            <w:shd w:fill="F7F9FC"/>
          </w:tcPr>
          <w:p>
            <w:pPr>
              <w:spacing w:after="0"/>
            </w:pPr>
            <w:r>
              <w:rPr>
                <w:rFonts w:ascii="Calibri" w:hAnsi="Calibri"/>
                <w:b/>
                <w:color w:val="0B2545"/>
                <w:sz w:val="20"/>
              </w:rPr>
              <w:t xml:space="preserve">Isolated execution — </w:t>
            </w:r>
            <w:r>
              <w:rPr>
                <w:rFonts w:ascii="Calibri" w:hAnsi="Calibri"/>
                <w:color w:val="1F2937"/>
                <w:sz w:val="20"/>
              </w:rPr>
              <w:t>Python creates an optional task branch/worktree and prepares the bounded work order.</w:t>
            </w:r>
          </w:p>
        </w:tc>
      </w:tr>
    </w:tbl>
    <w:p>
      <w:pPr>
        <w:spacing w:before="0" w:after="0"/>
        <w:jc w:val="center"/>
      </w:pPr>
      <w:r>
        <w:rPr>
          <w:rFonts w:ascii="Calibri" w:hAnsi="Calibri"/>
          <w:b/>
          <w:color w:val="5B6573"/>
          <w:sz w:val="24"/>
        </w:rPr>
        <w:t>↓</w:t>
      </w:r>
    </w:p>
    <w:tbl>
      <w:tblPr>
        <w:tblW w:type="dxa" w:w="9360"/>
        <w:jc w:val="left"/>
        <w:tblLayout w:type="fixed"/>
        <w:tblLook w:firstColumn="1" w:firstRow="1" w:lastColumn="0" w:lastRow="0" w:noHBand="0" w:noVBand="1" w:val="04A0"/>
        <w:tblInd w:w="120" w:type="dxa"/>
        <w:tblBorders>
          <w:top w:val="single" w:sz="6" w:space="0" w:color="C7D4E2"/>
          <w:left w:val="single" w:sz="6" w:space="0" w:color="C7D4E2"/>
          <w:bottom w:val="single" w:sz="6" w:space="0" w:color="C7D4E2"/>
          <w:right w:val="single" w:sz="6" w:space="0" w:color="C7D4E2"/>
          <w:insideH w:val="single" w:sz="6" w:space="0" w:color="C7D4E2"/>
          <w:insideV w:val="single" w:sz="6" w:space="0" w:color="C7D4E2"/>
        </w:tblBorders>
      </w:tblPr>
      <w:tblGrid>
        <w:gridCol w:w="720"/>
        <w:gridCol w:w="8640"/>
      </w:tblGrid>
      <w:tr>
        <w:tc>
          <w:tcPr>
            <w:tcW w:type="dxa" w:w="720"/>
            <w:tcMar>
              <w:top w:w="80" w:type="dxa"/>
              <w:start w:w="120" w:type="dxa"/>
              <w:bottom w:w="80" w:type="dxa"/>
              <w:end w:w="120" w:type="dxa"/>
            </w:tcMar>
            <w:vAlign w:val="center"/>
            <w:shd w:fill="2E74B5"/>
          </w:tcPr>
          <w:p>
            <w:pPr>
              <w:spacing w:after="0" w:line="252" w:lineRule="auto"/>
              <w:jc w:val="center"/>
            </w:pPr>
            <w:r>
              <w:rPr>
                <w:rFonts w:ascii="Calibri" w:hAnsi="Calibri"/>
                <w:b/>
                <w:color w:val="FFFFFF"/>
                <w:sz w:val="28"/>
              </w:rPr>
              <w:t>3</w:t>
            </w:r>
          </w:p>
        </w:tc>
        <w:tc>
          <w:tcPr>
            <w:tcW w:type="dxa" w:w="8640"/>
            <w:tcMar>
              <w:top w:w="80" w:type="dxa"/>
              <w:start w:w="120" w:type="dxa"/>
              <w:bottom w:w="80" w:type="dxa"/>
              <w:end w:w="120" w:type="dxa"/>
            </w:tcMar>
            <w:vAlign w:val="center"/>
            <w:shd w:fill="F7F9FC"/>
          </w:tcPr>
          <w:p>
            <w:pPr>
              <w:spacing w:after="0"/>
            </w:pPr>
            <w:r>
              <w:rPr>
                <w:rFonts w:ascii="Calibri" w:hAnsi="Calibri"/>
                <w:b/>
                <w:color w:val="0B2545"/>
                <w:sz w:val="20"/>
              </w:rPr>
              <w:t xml:space="preserve">Implementation — </w:t>
            </w:r>
            <w:r>
              <w:rPr>
                <w:rFonts w:ascii="Calibri" w:hAnsi="Calibri"/>
                <w:color w:val="1F2937"/>
                <w:sz w:val="20"/>
              </w:rPr>
              <w:t>The selected implementation agent writes code and tests within the task workspace.</w:t>
            </w:r>
          </w:p>
        </w:tc>
      </w:tr>
    </w:tbl>
    <w:p>
      <w:pPr>
        <w:spacing w:before="0" w:after="0"/>
        <w:jc w:val="center"/>
      </w:pPr>
      <w:r>
        <w:rPr>
          <w:rFonts w:ascii="Calibri" w:hAnsi="Calibri"/>
          <w:b/>
          <w:color w:val="5B6573"/>
          <w:sz w:val="24"/>
        </w:rPr>
        <w:t>↓</w:t>
      </w:r>
    </w:p>
    <w:tbl>
      <w:tblPr>
        <w:tblW w:type="dxa" w:w="9360"/>
        <w:jc w:val="left"/>
        <w:tblLayout w:type="fixed"/>
        <w:tblLook w:firstColumn="1" w:firstRow="1" w:lastColumn="0" w:lastRow="0" w:noHBand="0" w:noVBand="1" w:val="04A0"/>
        <w:tblInd w:w="120" w:type="dxa"/>
        <w:tblBorders>
          <w:top w:val="single" w:sz="6" w:space="0" w:color="C7D4E2"/>
          <w:left w:val="single" w:sz="6" w:space="0" w:color="C7D4E2"/>
          <w:bottom w:val="single" w:sz="6" w:space="0" w:color="C7D4E2"/>
          <w:right w:val="single" w:sz="6" w:space="0" w:color="C7D4E2"/>
          <w:insideH w:val="single" w:sz="6" w:space="0" w:color="C7D4E2"/>
          <w:insideV w:val="single" w:sz="6" w:space="0" w:color="C7D4E2"/>
        </w:tblBorders>
      </w:tblPr>
      <w:tblGrid>
        <w:gridCol w:w="720"/>
        <w:gridCol w:w="8640"/>
      </w:tblGrid>
      <w:tr>
        <w:tc>
          <w:tcPr>
            <w:tcW w:type="dxa" w:w="720"/>
            <w:tcMar>
              <w:top w:w="80" w:type="dxa"/>
              <w:start w:w="120" w:type="dxa"/>
              <w:bottom w:w="80" w:type="dxa"/>
              <w:end w:w="120" w:type="dxa"/>
            </w:tcMar>
            <w:vAlign w:val="center"/>
            <w:shd w:fill="2E74B5"/>
          </w:tcPr>
          <w:p>
            <w:pPr>
              <w:spacing w:after="0" w:line="252" w:lineRule="auto"/>
              <w:jc w:val="center"/>
            </w:pPr>
            <w:r>
              <w:rPr>
                <w:rFonts w:ascii="Calibri" w:hAnsi="Calibri"/>
                <w:b/>
                <w:color w:val="FFFFFF"/>
                <w:sz w:val="28"/>
              </w:rPr>
              <w:t>4</w:t>
            </w:r>
          </w:p>
        </w:tc>
        <w:tc>
          <w:tcPr>
            <w:tcW w:type="dxa" w:w="8640"/>
            <w:tcMar>
              <w:top w:w="80" w:type="dxa"/>
              <w:start w:w="120" w:type="dxa"/>
              <w:bottom w:w="80" w:type="dxa"/>
              <w:end w:w="120" w:type="dxa"/>
            </w:tcMar>
            <w:vAlign w:val="center"/>
            <w:shd w:fill="F7F9FC"/>
          </w:tcPr>
          <w:p>
            <w:pPr>
              <w:spacing w:after="0"/>
            </w:pPr>
            <w:r>
              <w:rPr>
                <w:rFonts w:ascii="Calibri" w:hAnsi="Calibri"/>
                <w:b/>
                <w:color w:val="0B2545"/>
                <w:sz w:val="20"/>
              </w:rPr>
              <w:t xml:space="preserve">Verification — </w:t>
            </w:r>
            <w:r>
              <w:rPr>
                <w:rFonts w:ascii="Calibri" w:hAnsi="Calibri"/>
                <w:color w:val="1F2937"/>
                <w:sz w:val="20"/>
              </w:rPr>
              <w:t>Tests run and the reviewer agent assesses source, tests, and task acceptance criteria.</w:t>
            </w:r>
          </w:p>
        </w:tc>
      </w:tr>
    </w:tbl>
    <w:p>
      <w:pPr>
        <w:spacing w:before="0" w:after="0"/>
        <w:jc w:val="center"/>
      </w:pPr>
      <w:r>
        <w:rPr>
          <w:rFonts w:ascii="Calibri" w:hAnsi="Calibri"/>
          <w:b/>
          <w:color w:val="5B6573"/>
          <w:sz w:val="24"/>
        </w:rPr>
        <w:t>↓</w:t>
      </w:r>
    </w:p>
    <w:tbl>
      <w:tblPr>
        <w:tblW w:type="dxa" w:w="9360"/>
        <w:jc w:val="left"/>
        <w:tblLayout w:type="fixed"/>
        <w:tblLook w:firstColumn="1" w:firstRow="1" w:lastColumn="0" w:lastRow="0" w:noHBand="0" w:noVBand="1" w:val="04A0"/>
        <w:tblInd w:w="120" w:type="dxa"/>
        <w:tblBorders>
          <w:top w:val="single" w:sz="6" w:space="0" w:color="C7D4E2"/>
          <w:left w:val="single" w:sz="6" w:space="0" w:color="C7D4E2"/>
          <w:bottom w:val="single" w:sz="6" w:space="0" w:color="C7D4E2"/>
          <w:right w:val="single" w:sz="6" w:space="0" w:color="C7D4E2"/>
          <w:insideH w:val="single" w:sz="6" w:space="0" w:color="C7D4E2"/>
          <w:insideV w:val="single" w:sz="6" w:space="0" w:color="C7D4E2"/>
        </w:tblBorders>
      </w:tblPr>
      <w:tblGrid>
        <w:gridCol w:w="720"/>
        <w:gridCol w:w="8640"/>
      </w:tblGrid>
      <w:tr>
        <w:tc>
          <w:tcPr>
            <w:tcW w:type="dxa" w:w="720"/>
            <w:tcMar>
              <w:top w:w="80" w:type="dxa"/>
              <w:start w:w="120" w:type="dxa"/>
              <w:bottom w:w="80" w:type="dxa"/>
              <w:end w:w="120" w:type="dxa"/>
            </w:tcMar>
            <w:vAlign w:val="center"/>
            <w:shd w:fill="2E74B5"/>
          </w:tcPr>
          <w:p>
            <w:pPr>
              <w:spacing w:after="0" w:line="252" w:lineRule="auto"/>
              <w:jc w:val="center"/>
            </w:pPr>
            <w:r>
              <w:rPr>
                <w:rFonts w:ascii="Calibri" w:hAnsi="Calibri"/>
                <w:b/>
                <w:color w:val="FFFFFF"/>
                <w:sz w:val="28"/>
              </w:rPr>
              <w:t>5</w:t>
            </w:r>
          </w:p>
        </w:tc>
        <w:tc>
          <w:tcPr>
            <w:tcW w:type="dxa" w:w="8640"/>
            <w:tcMar>
              <w:top w:w="80" w:type="dxa"/>
              <w:start w:w="120" w:type="dxa"/>
              <w:bottom w:w="80" w:type="dxa"/>
              <w:end w:w="120" w:type="dxa"/>
            </w:tcMar>
            <w:vAlign w:val="center"/>
            <w:shd w:fill="F7F9FC"/>
          </w:tcPr>
          <w:p>
            <w:pPr>
              <w:spacing w:after="0"/>
            </w:pPr>
            <w:r>
              <w:rPr>
                <w:rFonts w:ascii="Calibri" w:hAnsi="Calibri"/>
                <w:b/>
                <w:color w:val="0B2545"/>
                <w:sz w:val="20"/>
              </w:rPr>
              <w:t xml:space="preserve">Remediation — </w:t>
            </w:r>
            <w:r>
              <w:rPr>
                <w:rFonts w:ascii="Calibri" w:hAnsi="Calibri"/>
                <w:color w:val="1F2937"/>
                <w:sz w:val="20"/>
              </w:rPr>
              <w:t>Only review findings are returned to the implementer for a bounded corrective pass.</w:t>
            </w:r>
          </w:p>
        </w:tc>
      </w:tr>
    </w:tbl>
    <w:p>
      <w:pPr>
        <w:spacing w:before="0" w:after="0"/>
        <w:jc w:val="center"/>
      </w:pPr>
      <w:r>
        <w:rPr>
          <w:rFonts w:ascii="Calibri" w:hAnsi="Calibri"/>
          <w:b/>
          <w:color w:val="5B6573"/>
          <w:sz w:val="24"/>
        </w:rPr>
        <w:t>↓</w:t>
      </w:r>
    </w:p>
    <w:tbl>
      <w:tblPr>
        <w:tblW w:type="dxa" w:w="9360"/>
        <w:jc w:val="left"/>
        <w:tblLayout w:type="fixed"/>
        <w:tblLook w:firstColumn="1" w:firstRow="1" w:lastColumn="0" w:lastRow="0" w:noHBand="0" w:noVBand="1" w:val="04A0"/>
        <w:tblInd w:w="120" w:type="dxa"/>
        <w:tblBorders>
          <w:top w:val="single" w:sz="6" w:space="0" w:color="C7D4E2"/>
          <w:left w:val="single" w:sz="6" w:space="0" w:color="C7D4E2"/>
          <w:bottom w:val="single" w:sz="6" w:space="0" w:color="C7D4E2"/>
          <w:right w:val="single" w:sz="6" w:space="0" w:color="C7D4E2"/>
          <w:insideH w:val="single" w:sz="6" w:space="0" w:color="C7D4E2"/>
          <w:insideV w:val="single" w:sz="6" w:space="0" w:color="C7D4E2"/>
        </w:tblBorders>
      </w:tblPr>
      <w:tblGrid>
        <w:gridCol w:w="720"/>
        <w:gridCol w:w="8640"/>
      </w:tblGrid>
      <w:tr>
        <w:tc>
          <w:tcPr>
            <w:tcW w:type="dxa" w:w="720"/>
            <w:tcMar>
              <w:top w:w="80" w:type="dxa"/>
              <w:start w:w="120" w:type="dxa"/>
              <w:bottom w:w="80" w:type="dxa"/>
              <w:end w:w="120" w:type="dxa"/>
            </w:tcMar>
            <w:vAlign w:val="center"/>
            <w:shd w:fill="1F5D42"/>
          </w:tcPr>
          <w:p>
            <w:pPr>
              <w:spacing w:after="0" w:line="252" w:lineRule="auto"/>
              <w:jc w:val="center"/>
            </w:pPr>
            <w:r>
              <w:rPr>
                <w:rFonts w:ascii="Calibri" w:hAnsi="Calibri"/>
                <w:b/>
                <w:color w:val="FFFFFF"/>
                <w:sz w:val="28"/>
              </w:rPr>
              <w:t>6</w:t>
            </w:r>
          </w:p>
        </w:tc>
        <w:tc>
          <w:tcPr>
            <w:tcW w:type="dxa" w:w="8640"/>
            <w:tcMar>
              <w:top w:w="80" w:type="dxa"/>
              <w:start w:w="120" w:type="dxa"/>
              <w:bottom w:w="80" w:type="dxa"/>
              <w:end w:w="120" w:type="dxa"/>
            </w:tcMar>
            <w:vAlign w:val="center"/>
            <w:shd w:fill="F7F9FC"/>
          </w:tcPr>
          <w:p>
            <w:pPr>
              <w:spacing w:after="0"/>
            </w:pPr>
            <w:r>
              <w:rPr>
                <w:rFonts w:ascii="Calibri" w:hAnsi="Calibri"/>
                <w:b/>
                <w:color w:val="0B2545"/>
                <w:sz w:val="20"/>
              </w:rPr>
              <w:t xml:space="preserve">Delivery — </w:t>
            </w:r>
            <w:r>
              <w:rPr>
                <w:rFonts w:ascii="Calibri" w:hAnsi="Calibri"/>
                <w:color w:val="1F2937"/>
                <w:sz w:val="20"/>
              </w:rPr>
              <w:t>Python creates changelog, commit, push, and PR only after final APPROVED status.</w:t>
            </w:r>
          </w:p>
        </w:tc>
      </w:tr>
    </w:tbl>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600"/>
        <w:gridCol w:w="4950"/>
        <w:gridCol w:w="2810"/>
      </w:tblGrid>
      <w:tr>
        <w:tc>
          <w:tcPr>
            <w:tcW w:type="dxa" w:w="1600"/>
            <w:tcMar>
              <w:top w:w="80" w:type="dxa"/>
              <w:start w:w="120" w:type="dxa"/>
              <w:bottom w:w="80" w:type="dxa"/>
              <w:end w:w="120" w:type="dxa"/>
            </w:tcMar>
            <w:vAlign w:val="center"/>
            <w:shd w:fill="E8EEF5"/>
          </w:tcPr>
          <w:p>
            <w:pPr>
              <w:spacing w:after="0" w:line="252" w:lineRule="auto"/>
              <w:jc w:val="left"/>
            </w:pPr>
            <w:r>
              <w:rPr>
                <w:rFonts w:ascii="Calibri" w:hAnsi="Calibri"/>
                <w:b/>
                <w:color w:val="0B2545"/>
                <w:sz w:val="19"/>
              </w:rPr>
              <w:t>Status</w:t>
            </w:r>
          </w:p>
        </w:tc>
        <w:tc>
          <w:tcPr>
            <w:tcW w:type="dxa" w:w="4950"/>
            <w:tcMar>
              <w:top w:w="80" w:type="dxa"/>
              <w:start w:w="120" w:type="dxa"/>
              <w:bottom w:w="80" w:type="dxa"/>
              <w:end w:w="120" w:type="dxa"/>
            </w:tcMar>
            <w:vAlign w:val="center"/>
            <w:shd w:fill="E8EEF5"/>
          </w:tcPr>
          <w:p>
            <w:pPr>
              <w:spacing w:after="0" w:line="252" w:lineRule="auto"/>
              <w:jc w:val="left"/>
            </w:pPr>
            <w:r>
              <w:rPr>
                <w:rFonts w:ascii="Calibri" w:hAnsi="Calibri"/>
                <w:b/>
                <w:color w:val="0B2545"/>
                <w:sz w:val="19"/>
              </w:rPr>
              <w:t>Meaning</w:t>
            </w:r>
          </w:p>
        </w:tc>
        <w:tc>
          <w:tcPr>
            <w:tcW w:type="dxa" w:w="2810"/>
            <w:tcMar>
              <w:top w:w="80" w:type="dxa"/>
              <w:start w:w="120" w:type="dxa"/>
              <w:bottom w:w="80" w:type="dxa"/>
              <w:end w:w="120" w:type="dxa"/>
            </w:tcMar>
            <w:vAlign w:val="center"/>
            <w:shd w:fill="E8EEF5"/>
          </w:tcPr>
          <w:p>
            <w:pPr>
              <w:spacing w:after="0" w:line="252" w:lineRule="auto"/>
              <w:jc w:val="left"/>
            </w:pPr>
            <w:r>
              <w:rPr>
                <w:rFonts w:ascii="Calibri" w:hAnsi="Calibri"/>
                <w:b/>
                <w:color w:val="0B2545"/>
                <w:sz w:val="19"/>
              </w:rPr>
              <w:t>Typical exit</w:t>
            </w:r>
          </w:p>
        </w:tc>
      </w:tr>
      <w:tr>
        <w:tc>
          <w:tcPr>
            <w:tcW w:type="dxa" w:w="1600"/>
          </w:tcPr>
          <w:p>
            <w:pPr>
              <w:spacing w:after="0" w:line="252" w:lineRule="auto"/>
              <w:jc w:val="left"/>
            </w:pPr>
            <w:r>
              <w:rPr>
                <w:rFonts w:ascii="Calibri" w:hAnsi="Calibri"/>
                <w:b w:val="0"/>
                <w:color w:val="1F2937"/>
                <w:sz w:val="19"/>
              </w:rPr>
              <w:t>ready</w:t>
            </w:r>
          </w:p>
        </w:tc>
        <w:tc>
          <w:tcPr>
            <w:tcW w:type="dxa" w:w="4950"/>
          </w:tcPr>
          <w:p>
            <w:pPr>
              <w:spacing w:after="0" w:line="252" w:lineRule="auto"/>
              <w:jc w:val="left"/>
            </w:pPr>
            <w:r>
              <w:rPr>
                <w:rFonts w:ascii="Calibri" w:hAnsi="Calibri"/>
                <w:b w:val="0"/>
                <w:color w:val="1F2937"/>
                <w:sz w:val="19"/>
              </w:rPr>
              <w:t>Task is eligible for selection.</w:t>
            </w:r>
          </w:p>
        </w:tc>
        <w:tc>
          <w:tcPr>
            <w:tcW w:type="dxa" w:w="2810"/>
          </w:tcPr>
          <w:p>
            <w:pPr>
              <w:spacing w:after="0" w:line="252" w:lineRule="auto"/>
              <w:jc w:val="left"/>
            </w:pPr>
            <w:r>
              <w:rPr>
                <w:rFonts w:ascii="Calibri" w:hAnsi="Calibri"/>
                <w:b w:val="0"/>
                <w:color w:val="1F2937"/>
                <w:sz w:val="19"/>
              </w:rPr>
              <w:t>Submission starts.</w:t>
            </w:r>
          </w:p>
        </w:tc>
      </w:tr>
      <w:tr>
        <w:tc>
          <w:tcPr>
            <w:tcW w:type="dxa" w:w="1600"/>
          </w:tcPr>
          <w:p>
            <w:pPr>
              <w:spacing w:after="0" w:line="252" w:lineRule="auto"/>
              <w:jc w:val="left"/>
            </w:pPr>
            <w:r>
              <w:rPr>
                <w:rFonts w:ascii="Calibri" w:hAnsi="Calibri"/>
                <w:b w:val="0"/>
                <w:color w:val="1F2937"/>
                <w:sz w:val="19"/>
              </w:rPr>
              <w:t>working</w:t>
            </w:r>
          </w:p>
        </w:tc>
        <w:tc>
          <w:tcPr>
            <w:tcW w:type="dxa" w:w="4950"/>
          </w:tcPr>
          <w:p>
            <w:pPr>
              <w:spacing w:after="0" w:line="252" w:lineRule="auto"/>
              <w:jc w:val="left"/>
            </w:pPr>
            <w:r>
              <w:rPr>
                <w:rFonts w:ascii="Calibri" w:hAnsi="Calibri"/>
                <w:b w:val="0"/>
                <w:color w:val="1F2937"/>
                <w:sz w:val="19"/>
              </w:rPr>
              <w:t>Implementation/review stages are active.</w:t>
            </w:r>
          </w:p>
        </w:tc>
        <w:tc>
          <w:tcPr>
            <w:tcW w:type="dxa" w:w="2810"/>
          </w:tcPr>
          <w:p>
            <w:pPr>
              <w:spacing w:after="0" w:line="252" w:lineRule="auto"/>
              <w:jc w:val="left"/>
            </w:pPr>
            <w:r>
              <w:rPr>
                <w:rFonts w:ascii="Calibri" w:hAnsi="Calibri"/>
                <w:b w:val="0"/>
                <w:color w:val="1F2937"/>
                <w:sz w:val="19"/>
              </w:rPr>
              <w:t>Implementation, review, or failure result.</w:t>
            </w:r>
          </w:p>
        </w:tc>
      </w:tr>
      <w:tr>
        <w:tc>
          <w:tcPr>
            <w:tcW w:type="dxa" w:w="1600"/>
          </w:tcPr>
          <w:p>
            <w:pPr>
              <w:spacing w:after="0" w:line="252" w:lineRule="auto"/>
              <w:jc w:val="left"/>
            </w:pPr>
            <w:r>
              <w:rPr>
                <w:rFonts w:ascii="Calibri" w:hAnsi="Calibri"/>
                <w:b w:val="0"/>
                <w:color w:val="1F2937"/>
                <w:sz w:val="19"/>
              </w:rPr>
              <w:t>implemented</w:t>
            </w:r>
          </w:p>
        </w:tc>
        <w:tc>
          <w:tcPr>
            <w:tcW w:type="dxa" w:w="4950"/>
          </w:tcPr>
          <w:p>
            <w:pPr>
              <w:spacing w:after="0" w:line="252" w:lineRule="auto"/>
              <w:jc w:val="left"/>
            </w:pPr>
            <w:r>
              <w:rPr>
                <w:rFonts w:ascii="Calibri" w:hAnsi="Calibri"/>
                <w:b w:val="0"/>
                <w:color w:val="1F2937"/>
                <w:sz w:val="19"/>
              </w:rPr>
              <w:t>Code and tests were produced; review may still be pending.</w:t>
            </w:r>
          </w:p>
        </w:tc>
        <w:tc>
          <w:tcPr>
            <w:tcW w:type="dxa" w:w="2810"/>
          </w:tcPr>
          <w:p>
            <w:pPr>
              <w:spacing w:after="0" w:line="252" w:lineRule="auto"/>
              <w:jc w:val="left"/>
            </w:pPr>
            <w:r>
              <w:rPr>
                <w:rFonts w:ascii="Calibri" w:hAnsi="Calibri"/>
                <w:b w:val="0"/>
                <w:color w:val="1F2937"/>
                <w:sz w:val="19"/>
              </w:rPr>
              <w:t>Review is started.</w:t>
            </w:r>
          </w:p>
        </w:tc>
      </w:tr>
      <w:tr>
        <w:tc>
          <w:tcPr>
            <w:tcW w:type="dxa" w:w="1600"/>
          </w:tcPr>
          <w:p>
            <w:pPr>
              <w:spacing w:after="0" w:line="252" w:lineRule="auto"/>
              <w:jc w:val="left"/>
            </w:pPr>
            <w:r>
              <w:rPr>
                <w:rFonts w:ascii="Calibri" w:hAnsi="Calibri"/>
                <w:b w:val="0"/>
                <w:color w:val="1F2937"/>
                <w:sz w:val="19"/>
              </w:rPr>
              <w:t>reviewed</w:t>
            </w:r>
          </w:p>
        </w:tc>
        <w:tc>
          <w:tcPr>
            <w:tcW w:type="dxa" w:w="4950"/>
          </w:tcPr>
          <w:p>
            <w:pPr>
              <w:spacing w:after="0" w:line="252" w:lineRule="auto"/>
              <w:jc w:val="left"/>
            </w:pPr>
            <w:r>
              <w:rPr>
                <w:rFonts w:ascii="Calibri" w:hAnsi="Calibri"/>
                <w:b w:val="0"/>
                <w:color w:val="1F2937"/>
                <w:sz w:val="19"/>
              </w:rPr>
              <w:t>Review completed but delivery is not approved or not requested.</w:t>
            </w:r>
          </w:p>
        </w:tc>
        <w:tc>
          <w:tcPr>
            <w:tcW w:type="dxa" w:w="2810"/>
          </w:tcPr>
          <w:p>
            <w:pPr>
              <w:spacing w:after="0" w:line="252" w:lineRule="auto"/>
              <w:jc w:val="left"/>
            </w:pPr>
            <w:r>
              <w:rPr>
                <w:rFonts w:ascii="Calibri" w:hAnsi="Calibri"/>
                <w:b w:val="0"/>
                <w:color w:val="1F2937"/>
                <w:sz w:val="19"/>
              </w:rPr>
              <w:t>Remediate, manually inspect, or deliver after approval.</w:t>
            </w:r>
          </w:p>
        </w:tc>
      </w:tr>
      <w:tr>
        <w:tc>
          <w:tcPr>
            <w:tcW w:type="dxa" w:w="1600"/>
          </w:tcPr>
          <w:p>
            <w:pPr>
              <w:spacing w:after="0" w:line="252" w:lineRule="auto"/>
              <w:jc w:val="left"/>
            </w:pPr>
            <w:r>
              <w:rPr>
                <w:rFonts w:ascii="Calibri" w:hAnsi="Calibri"/>
                <w:b w:val="0"/>
                <w:color w:val="1F2937"/>
                <w:sz w:val="19"/>
              </w:rPr>
              <w:t>delivered</w:t>
            </w:r>
          </w:p>
        </w:tc>
        <w:tc>
          <w:tcPr>
            <w:tcW w:type="dxa" w:w="4950"/>
          </w:tcPr>
          <w:p>
            <w:pPr>
              <w:spacing w:after="0" w:line="252" w:lineRule="auto"/>
              <w:jc w:val="left"/>
            </w:pPr>
            <w:r>
              <w:rPr>
                <w:rFonts w:ascii="Calibri" w:hAnsi="Calibri"/>
                <w:b w:val="0"/>
                <w:color w:val="1F2937"/>
                <w:sz w:val="19"/>
              </w:rPr>
              <w:t>Approved change was committed, pushed, and a PR was created.</w:t>
            </w:r>
          </w:p>
        </w:tc>
        <w:tc>
          <w:tcPr>
            <w:tcW w:type="dxa" w:w="2810"/>
          </w:tcPr>
          <w:p>
            <w:pPr>
              <w:spacing w:after="0" w:line="252" w:lineRule="auto"/>
              <w:jc w:val="left"/>
            </w:pPr>
            <w:r>
              <w:rPr>
                <w:rFonts w:ascii="Calibri" w:hAnsi="Calibri"/>
                <w:b w:val="0"/>
                <w:color w:val="1F2937"/>
                <w:sz w:val="19"/>
              </w:rPr>
              <w:t>Normal terminal state.</w:t>
            </w:r>
          </w:p>
        </w:tc>
      </w:tr>
      <w:tr>
        <w:tc>
          <w:tcPr>
            <w:tcW w:type="dxa" w:w="1600"/>
          </w:tcPr>
          <w:p>
            <w:pPr>
              <w:spacing w:after="0" w:line="252" w:lineRule="auto"/>
              <w:jc w:val="left"/>
            </w:pPr>
            <w:r>
              <w:rPr>
                <w:rFonts w:ascii="Calibri" w:hAnsi="Calibri"/>
                <w:b w:val="0"/>
                <w:color w:val="1F2937"/>
                <w:sz w:val="19"/>
              </w:rPr>
              <w:t>failed</w:t>
            </w:r>
          </w:p>
        </w:tc>
        <w:tc>
          <w:tcPr>
            <w:tcW w:type="dxa" w:w="4950"/>
          </w:tcPr>
          <w:p>
            <w:pPr>
              <w:spacing w:after="0" w:line="252" w:lineRule="auto"/>
              <w:jc w:val="left"/>
            </w:pPr>
            <w:r>
              <w:rPr>
                <w:rFonts w:ascii="Calibri" w:hAnsi="Calibri"/>
                <w:b w:val="0"/>
                <w:color w:val="1F2937"/>
                <w:sz w:val="19"/>
              </w:rPr>
              <w:t>A stage, timeout, or validation gate failed.</w:t>
            </w:r>
          </w:p>
        </w:tc>
        <w:tc>
          <w:tcPr>
            <w:tcW w:type="dxa" w:w="2810"/>
          </w:tcPr>
          <w:p>
            <w:pPr>
              <w:spacing w:after="0" w:line="252" w:lineRule="auto"/>
              <w:jc w:val="left"/>
            </w:pPr>
            <w:r>
              <w:rPr>
                <w:rFonts w:ascii="Calibri" w:hAnsi="Calibri"/>
                <w:b w:val="0"/>
                <w:color w:val="1F2937"/>
                <w:sz w:val="19"/>
              </w:rPr>
              <w:t>Investigate trace, correct configuration, then retry.</w:t>
            </w:r>
          </w:p>
        </w:tc>
      </w:tr>
    </w:tbl>
    <w:p>
      <w:pPr>
        <w:spacing w:after="40"/>
      </w:pPr>
    </w:p>
    <w:p>
      <w:pPr>
        <w:pStyle w:val="Heading1"/>
        <w:keepNext/>
      </w:pPr>
      <w:r>
        <w:t>6. Implementation detail at a high level</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2700"/>
        <w:gridCol w:w="6660"/>
      </w:tblGrid>
      <w:tr>
        <w:tc>
          <w:tcPr>
            <w:tcW w:type="dxa" w:w="2700"/>
            <w:tcMar>
              <w:top w:w="80" w:type="dxa"/>
              <w:start w:w="120" w:type="dxa"/>
              <w:bottom w:w="80" w:type="dxa"/>
              <w:end w:w="120" w:type="dxa"/>
            </w:tcMar>
            <w:vAlign w:val="center"/>
            <w:shd w:fill="E8EEF5"/>
          </w:tcPr>
          <w:p>
            <w:pPr>
              <w:spacing w:after="0" w:line="252" w:lineRule="auto"/>
              <w:jc w:val="left"/>
            </w:pPr>
            <w:r>
              <w:rPr>
                <w:rFonts w:ascii="Calibri" w:hAnsi="Calibri"/>
                <w:b/>
                <w:color w:val="0B2545"/>
                <w:sz w:val="19"/>
              </w:rPr>
              <w:t>Component</w:t>
            </w:r>
          </w:p>
        </w:tc>
        <w:tc>
          <w:tcPr>
            <w:tcW w:type="dxa" w:w="6660"/>
            <w:tcMar>
              <w:top w:w="80" w:type="dxa"/>
              <w:start w:w="120" w:type="dxa"/>
              <w:bottom w:w="80" w:type="dxa"/>
              <w:end w:w="120" w:type="dxa"/>
            </w:tcMar>
            <w:vAlign w:val="center"/>
            <w:shd w:fill="E8EEF5"/>
          </w:tcPr>
          <w:p>
            <w:pPr>
              <w:spacing w:after="0" w:line="252" w:lineRule="auto"/>
              <w:jc w:val="left"/>
            </w:pPr>
            <w:r>
              <w:rPr>
                <w:rFonts w:ascii="Calibri" w:hAnsi="Calibri"/>
                <w:b/>
                <w:color w:val="0B2545"/>
                <w:sz w:val="19"/>
              </w:rPr>
              <w:t>High-level responsibility</w:t>
            </w:r>
          </w:p>
        </w:tc>
      </w:tr>
      <w:tr>
        <w:tc>
          <w:tcPr>
            <w:tcW w:type="dxa" w:w="2700"/>
          </w:tcPr>
          <w:p>
            <w:pPr>
              <w:spacing w:after="0" w:line="252" w:lineRule="auto"/>
              <w:jc w:val="left"/>
            </w:pPr>
            <w:r>
              <w:rPr>
                <w:rFonts w:ascii="Calibri" w:hAnsi="Calibri"/>
                <w:b w:val="0"/>
                <w:color w:val="1F2937"/>
                <w:sz w:val="19"/>
              </w:rPr>
              <w:t>CLI and submission service</w:t>
            </w:r>
          </w:p>
        </w:tc>
        <w:tc>
          <w:tcPr>
            <w:tcW w:type="dxa" w:w="6660"/>
          </w:tcPr>
          <w:p>
            <w:pPr>
              <w:spacing w:after="0" w:line="252" w:lineRule="auto"/>
              <w:jc w:val="left"/>
            </w:pPr>
            <w:r>
              <w:rPr>
                <w:rFonts w:ascii="Calibri" w:hAnsi="Calibri"/>
                <w:b w:val="0"/>
                <w:color w:val="1F2937"/>
                <w:sz w:val="19"/>
              </w:rPr>
              <w:t>Exposes operating modes: implement only; implement plus review; or implement, review, and deliver after approval.</w:t>
            </w:r>
          </w:p>
        </w:tc>
      </w:tr>
      <w:tr>
        <w:tc>
          <w:tcPr>
            <w:tcW w:type="dxa" w:w="2700"/>
          </w:tcPr>
          <w:p>
            <w:pPr>
              <w:spacing w:after="0" w:line="252" w:lineRule="auto"/>
              <w:jc w:val="left"/>
            </w:pPr>
            <w:r>
              <w:rPr>
                <w:rFonts w:ascii="Calibri" w:hAnsi="Calibri"/>
                <w:b w:val="0"/>
                <w:color w:val="1F2937"/>
                <w:sz w:val="19"/>
              </w:rPr>
              <w:t>Task service</w:t>
            </w:r>
          </w:p>
        </w:tc>
        <w:tc>
          <w:tcPr>
            <w:tcW w:type="dxa" w:w="6660"/>
          </w:tcPr>
          <w:p>
            <w:pPr>
              <w:spacing w:after="0" w:line="252" w:lineRule="auto"/>
              <w:jc w:val="left"/>
            </w:pPr>
            <w:r>
              <w:rPr>
                <w:rFonts w:ascii="Calibri" w:hAnsi="Calibri"/>
                <w:b w:val="0"/>
                <w:color w:val="1F2937"/>
                <w:sz w:val="19"/>
              </w:rPr>
              <w:t>Parses TODO.md into validated task records; confirms the workspace and test command before launch.</w:t>
            </w:r>
          </w:p>
        </w:tc>
      </w:tr>
      <w:tr>
        <w:tc>
          <w:tcPr>
            <w:tcW w:type="dxa" w:w="2700"/>
          </w:tcPr>
          <w:p>
            <w:pPr>
              <w:spacing w:after="0" w:line="252" w:lineRule="auto"/>
              <w:jc w:val="left"/>
            </w:pPr>
            <w:r>
              <w:rPr>
                <w:rFonts w:ascii="Calibri" w:hAnsi="Calibri"/>
                <w:b w:val="0"/>
                <w:color w:val="1F2937"/>
                <w:sz w:val="19"/>
              </w:rPr>
              <w:t>Runner and tracing</w:t>
            </w:r>
          </w:p>
        </w:tc>
        <w:tc>
          <w:tcPr>
            <w:tcW w:type="dxa" w:w="6660"/>
          </w:tcPr>
          <w:p>
            <w:pPr>
              <w:spacing w:after="0" w:line="252" w:lineRule="auto"/>
              <w:jc w:val="left"/>
            </w:pPr>
            <w:r>
              <w:rPr>
                <w:rFonts w:ascii="Calibri" w:hAnsi="Calibri"/>
                <w:b w:val="0"/>
                <w:color w:val="1F2937"/>
                <w:sz w:val="19"/>
              </w:rPr>
              <w:t>Starts the Omnigent workflow, streams controlled output, captures task-specific traces, and enforces timeout/cleanup behavior.</w:t>
            </w:r>
          </w:p>
        </w:tc>
      </w:tr>
      <w:tr>
        <w:tc>
          <w:tcPr>
            <w:tcW w:type="dxa" w:w="2700"/>
          </w:tcPr>
          <w:p>
            <w:pPr>
              <w:spacing w:after="0" w:line="252" w:lineRule="auto"/>
              <w:jc w:val="left"/>
            </w:pPr>
            <w:r>
              <w:rPr>
                <w:rFonts w:ascii="Calibri" w:hAnsi="Calibri"/>
                <w:b w:val="0"/>
                <w:color w:val="1F2937"/>
                <w:sz w:val="19"/>
              </w:rPr>
              <w:t>Worktree service</w:t>
            </w:r>
          </w:p>
        </w:tc>
        <w:tc>
          <w:tcPr>
            <w:tcW w:type="dxa" w:w="6660"/>
          </w:tcPr>
          <w:p>
            <w:pPr>
              <w:spacing w:after="0" w:line="252" w:lineRule="auto"/>
              <w:jc w:val="left"/>
            </w:pPr>
            <w:r>
              <w:rPr>
                <w:rFonts w:ascii="Calibri" w:hAnsi="Calibri"/>
                <w:b w:val="0"/>
                <w:color w:val="1F2937"/>
                <w:sz w:val="19"/>
              </w:rPr>
              <w:t>Creates an isolated task branch/worktree from the configured base branch, allowing a task PR to remain independent of other active work.</w:t>
            </w:r>
          </w:p>
        </w:tc>
      </w:tr>
      <w:tr>
        <w:tc>
          <w:tcPr>
            <w:tcW w:type="dxa" w:w="2700"/>
          </w:tcPr>
          <w:p>
            <w:pPr>
              <w:spacing w:after="0" w:line="252" w:lineRule="auto"/>
              <w:jc w:val="left"/>
            </w:pPr>
            <w:r>
              <w:rPr>
                <w:rFonts w:ascii="Calibri" w:hAnsi="Calibri"/>
                <w:b w:val="0"/>
                <w:color w:val="1F2937"/>
                <w:sz w:val="19"/>
              </w:rPr>
              <w:t>Delivery service</w:t>
            </w:r>
          </w:p>
        </w:tc>
        <w:tc>
          <w:tcPr>
            <w:tcW w:type="dxa" w:w="6660"/>
          </w:tcPr>
          <w:p>
            <w:pPr>
              <w:spacing w:after="0" w:line="252" w:lineRule="auto"/>
              <w:jc w:val="left"/>
            </w:pPr>
            <w:r>
              <w:rPr>
                <w:rFonts w:ascii="Calibri" w:hAnsi="Calibri"/>
                <w:b w:val="0"/>
                <w:color w:val="1F2937"/>
                <w:sz w:val="19"/>
              </w:rPr>
              <w:t>Checks final review status and invokes a deterministic helper to update changelog, commit, push, and open a PR with a task-derived title.</w:t>
            </w:r>
          </w:p>
        </w:tc>
      </w:tr>
    </w:tbl>
    <w:p>
      <w:pPr>
        <w:spacing w:after="40"/>
      </w:pPr>
    </w:p>
    <w:p>
      <w:pPr>
        <w:pStyle w:val="Heading1"/>
        <w:keepNext/>
      </w:pPr>
      <w:r>
        <w:t>7. Current scope and next goal: queued execution</w:t>
      </w:r>
    </w:p>
    <w:p>
      <w:pPr>
        <w:spacing w:after="120" w:line="264" w:lineRule="auto"/>
      </w:pPr>
      <w:r>
        <w:rPr>
          <w:rFonts w:ascii="Calibri" w:hAnsi="Calibri"/>
          <w:color w:val="1F2937"/>
          <w:sz w:val="21"/>
        </w:rPr>
        <w:t>The current recommended operating model processes one ready task at a time, especially for mode 3 (implementation, review, and PR). This provides the clearest audit trail while the review-harness and worktree controls are stabilized.</w:t>
      </w:r>
    </w:p>
    <w:p>
      <w:pPr>
        <w:spacing w:after="120" w:line="264" w:lineRule="auto"/>
      </w:pPr>
      <w:r>
        <w:rPr>
          <w:rFonts w:ascii="Calibri" w:hAnsi="Calibri"/>
          <w:color w:val="1F2937"/>
          <w:sz w:val="21"/>
        </w:rPr>
        <w:t>The next planned capability is a managed queue that selects multiple ready tasks and processes them sequentially overnight. Each task would receive its own worktree, trace, time budget, final status, and delivery decision before the next task begins.</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2500"/>
        <w:gridCol w:w="3600"/>
        <w:gridCol w:w="3260"/>
      </w:tblGrid>
      <w:tr>
        <w:tc>
          <w:tcPr>
            <w:tcW w:type="dxa" w:w="2500"/>
            <w:tcMar>
              <w:top w:w="80" w:type="dxa"/>
              <w:start w:w="120" w:type="dxa"/>
              <w:bottom w:w="80" w:type="dxa"/>
              <w:end w:w="120" w:type="dxa"/>
            </w:tcMar>
            <w:vAlign w:val="center"/>
            <w:shd w:fill="E8EEF5"/>
          </w:tcPr>
          <w:p>
            <w:pPr>
              <w:spacing w:after="0" w:line="252" w:lineRule="auto"/>
              <w:jc w:val="left"/>
            </w:pPr>
            <w:r>
              <w:rPr>
                <w:rFonts w:ascii="Calibri" w:hAnsi="Calibri"/>
                <w:b/>
                <w:color w:val="0B2545"/>
                <w:sz w:val="19"/>
              </w:rPr>
              <w:t>Queue objective</w:t>
            </w:r>
          </w:p>
        </w:tc>
        <w:tc>
          <w:tcPr>
            <w:tcW w:type="dxa" w:w="3600"/>
            <w:tcMar>
              <w:top w:w="80" w:type="dxa"/>
              <w:start w:w="120" w:type="dxa"/>
              <w:bottom w:w="80" w:type="dxa"/>
              <w:end w:w="120" w:type="dxa"/>
            </w:tcMar>
            <w:vAlign w:val="center"/>
            <w:shd w:fill="E8EEF5"/>
          </w:tcPr>
          <w:p>
            <w:pPr>
              <w:spacing w:after="0" w:line="252" w:lineRule="auto"/>
              <w:jc w:val="left"/>
            </w:pPr>
            <w:r>
              <w:rPr>
                <w:rFonts w:ascii="Calibri" w:hAnsi="Calibri"/>
                <w:b/>
                <w:color w:val="0B2545"/>
                <w:sz w:val="19"/>
              </w:rPr>
              <w:t>Proposed approach</w:t>
            </w:r>
          </w:p>
        </w:tc>
        <w:tc>
          <w:tcPr>
            <w:tcW w:type="dxa" w:w="3260"/>
            <w:tcMar>
              <w:top w:w="80" w:type="dxa"/>
              <w:start w:w="120" w:type="dxa"/>
              <w:bottom w:w="80" w:type="dxa"/>
              <w:end w:w="120" w:type="dxa"/>
            </w:tcMar>
            <w:vAlign w:val="center"/>
            <w:shd w:fill="E8EEF5"/>
          </w:tcPr>
          <w:p>
            <w:pPr>
              <w:spacing w:after="0" w:line="252" w:lineRule="auto"/>
              <w:jc w:val="left"/>
            </w:pPr>
            <w:r>
              <w:rPr>
                <w:rFonts w:ascii="Calibri" w:hAnsi="Calibri"/>
                <w:b/>
                <w:color w:val="0B2545"/>
                <w:sz w:val="19"/>
              </w:rPr>
              <w:t>Required safeguards</w:t>
            </w:r>
          </w:p>
        </w:tc>
      </w:tr>
      <w:tr>
        <w:tc>
          <w:tcPr>
            <w:tcW w:type="dxa" w:w="2500"/>
          </w:tcPr>
          <w:p>
            <w:pPr>
              <w:spacing w:after="0" w:line="252" w:lineRule="auto"/>
              <w:jc w:val="left"/>
            </w:pPr>
            <w:r>
              <w:rPr>
                <w:rFonts w:ascii="Calibri" w:hAnsi="Calibri"/>
                <w:b w:val="0"/>
                <w:color w:val="1F2937"/>
                <w:sz w:val="19"/>
              </w:rPr>
              <w:t>Process a backlog without manual re-launch</w:t>
            </w:r>
          </w:p>
        </w:tc>
        <w:tc>
          <w:tcPr>
            <w:tcW w:type="dxa" w:w="3600"/>
          </w:tcPr>
          <w:p>
            <w:pPr>
              <w:spacing w:after="0" w:line="252" w:lineRule="auto"/>
              <w:jc w:val="left"/>
            </w:pPr>
            <w:r>
              <w:rPr>
                <w:rFonts w:ascii="Calibri" w:hAnsi="Calibri"/>
                <w:b w:val="0"/>
                <w:color w:val="1F2937"/>
                <w:sz w:val="19"/>
              </w:rPr>
              <w:t>Read ready tasks in priority/order; execute one task to terminal status before selecting the next.</w:t>
            </w:r>
          </w:p>
        </w:tc>
        <w:tc>
          <w:tcPr>
            <w:tcW w:type="dxa" w:w="3260"/>
          </w:tcPr>
          <w:p>
            <w:pPr>
              <w:spacing w:after="0" w:line="252" w:lineRule="auto"/>
              <w:jc w:val="left"/>
            </w:pPr>
            <w:r>
              <w:rPr>
                <w:rFonts w:ascii="Calibri" w:hAnsi="Calibri"/>
                <w:b w:val="0"/>
                <w:color w:val="1F2937"/>
                <w:sz w:val="19"/>
              </w:rPr>
              <w:t>Per-task timeout, isolated worktree, durable trace, failure continuation policy, and no shared uncommitted state.</w:t>
            </w:r>
          </w:p>
        </w:tc>
      </w:tr>
      <w:tr>
        <w:tc>
          <w:tcPr>
            <w:tcW w:type="dxa" w:w="2500"/>
          </w:tcPr>
          <w:p>
            <w:pPr>
              <w:spacing w:after="0" w:line="252" w:lineRule="auto"/>
              <w:jc w:val="left"/>
            </w:pPr>
            <w:r>
              <w:rPr>
                <w:rFonts w:ascii="Calibri" w:hAnsi="Calibri"/>
                <w:b w:val="0"/>
                <w:color w:val="1F2937"/>
                <w:sz w:val="19"/>
              </w:rPr>
              <w:t>Support several PRs safely</w:t>
            </w:r>
          </w:p>
        </w:tc>
        <w:tc>
          <w:tcPr>
            <w:tcW w:type="dxa" w:w="3600"/>
          </w:tcPr>
          <w:p>
            <w:pPr>
              <w:spacing w:after="0" w:line="252" w:lineRule="auto"/>
              <w:jc w:val="left"/>
            </w:pPr>
            <w:r>
              <w:rPr>
                <w:rFonts w:ascii="Calibri" w:hAnsi="Calibri"/>
                <w:b w:val="0"/>
                <w:color w:val="1F2937"/>
                <w:sz w:val="19"/>
              </w:rPr>
              <w:t>Create a distinct branch and worktree for each task from the selected base branch.</w:t>
            </w:r>
          </w:p>
        </w:tc>
        <w:tc>
          <w:tcPr>
            <w:tcW w:type="dxa" w:w="3260"/>
          </w:tcPr>
          <w:p>
            <w:pPr>
              <w:spacing w:after="0" w:line="252" w:lineRule="auto"/>
              <w:jc w:val="left"/>
            </w:pPr>
            <w:r>
              <w:rPr>
                <w:rFonts w:ascii="Calibri" w:hAnsi="Calibri"/>
                <w:b w:val="0"/>
                <w:color w:val="1F2937"/>
                <w:sz w:val="19"/>
              </w:rPr>
              <w:t>Branch collision checks, remote/identity approval, PR status verification, and cleanup/retention rules.</w:t>
            </w:r>
          </w:p>
        </w:tc>
      </w:tr>
      <w:tr>
        <w:tc>
          <w:tcPr>
            <w:tcW w:type="dxa" w:w="2500"/>
          </w:tcPr>
          <w:p>
            <w:pPr>
              <w:spacing w:after="0" w:line="252" w:lineRule="auto"/>
              <w:jc w:val="left"/>
            </w:pPr>
            <w:r>
              <w:rPr>
                <w:rFonts w:ascii="Calibri" w:hAnsi="Calibri"/>
                <w:b w:val="0"/>
                <w:color w:val="1F2937"/>
                <w:sz w:val="19"/>
              </w:rPr>
              <w:t>Control model cost</w:t>
            </w:r>
          </w:p>
        </w:tc>
        <w:tc>
          <w:tcPr>
            <w:tcW w:type="dxa" w:w="3600"/>
          </w:tcPr>
          <w:p>
            <w:pPr>
              <w:spacing w:after="0" w:line="252" w:lineRule="auto"/>
              <w:jc w:val="left"/>
            </w:pPr>
            <w:r>
              <w:rPr>
                <w:rFonts w:ascii="Calibri" w:hAnsi="Calibri"/>
                <w:b w:val="0"/>
                <w:color w:val="1F2937"/>
                <w:sz w:val="19"/>
              </w:rPr>
              <w:t>Set a per-stage and per-task time/token budget; stop after the bounded remediation cycle.</w:t>
            </w:r>
          </w:p>
        </w:tc>
        <w:tc>
          <w:tcPr>
            <w:tcW w:type="dxa" w:w="3260"/>
          </w:tcPr>
          <w:p>
            <w:pPr>
              <w:spacing w:after="0" w:line="252" w:lineRule="auto"/>
              <w:jc w:val="left"/>
            </w:pPr>
            <w:r>
              <w:rPr>
                <w:rFonts w:ascii="Calibri" w:hAnsi="Calibri"/>
                <w:b w:val="0"/>
                <w:color w:val="1F2937"/>
                <w:sz w:val="19"/>
              </w:rPr>
              <w:t>Rate limits, concurrency limit of one initially, clear retry policy, and operator-visible queue ledger.</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B7C9DE"/>
          <w:left w:val="single" w:sz="6" w:space="0" w:color="B7C9DE"/>
          <w:bottom w:val="single" w:sz="6" w:space="0" w:color="B7C9DE"/>
          <w:right w:val="single" w:sz="6" w:space="0" w:color="B7C9DE"/>
          <w:insideH w:val="single" w:sz="6" w:space="0" w:color="B7C9DE"/>
          <w:insideV w:val="single" w:sz="6" w:space="0" w:color="B7C9DE"/>
        </w:tblBorders>
      </w:tblPr>
      <w:tblGrid>
        <w:gridCol w:w="9360"/>
      </w:tblGrid>
      <w:tr>
        <w:tc>
          <w:tcPr>
            <w:tcW w:type="dxa" w:w="9360"/>
            <w:tcMar>
              <w:top w:w="80" w:type="dxa"/>
              <w:start w:w="120" w:type="dxa"/>
              <w:bottom w:w="80" w:type="dxa"/>
              <w:end w:w="120" w:type="dxa"/>
            </w:tcMar>
            <w:vAlign w:val="center"/>
            <w:shd w:fill="F4F7FA"/>
          </w:tcPr>
          <w:p>
            <w:pPr>
              <w:spacing w:after="0" w:line="259" w:lineRule="auto"/>
            </w:pPr>
            <w:r>
              <w:rPr>
                <w:rFonts w:ascii="Calibri" w:hAnsi="Calibri"/>
                <w:b/>
                <w:color w:val="1F5D42"/>
                <w:sz w:val="20"/>
              </w:rPr>
              <w:t xml:space="preserve">Recommended next milestone  </w:t>
            </w:r>
            <w:r>
              <w:rPr>
                <w:rFonts w:ascii="Calibri" w:hAnsi="Calibri"/>
                <w:color w:val="1F2937"/>
                <w:sz w:val="20"/>
              </w:rPr>
              <w:t>Implement a sequential queue first. Add parallel task execution only after isolation, provider rate limits, trace completeness, and delivery governance have been demonstrated under load.</w:t>
            </w:r>
          </w:p>
        </w:tc>
      </w:tr>
    </w:tbl>
    <w:p>
      <w:pPr>
        <w:spacing w:after="40"/>
      </w:pPr>
    </w:p>
    <w:p>
      <w:pPr>
        <w:pStyle w:val="Heading1"/>
        <w:keepNext/>
      </w:pPr>
      <w:r>
        <w:t>8. Client decision points</w:t>
      </w:r>
    </w:p>
    <w:p>
      <w:pPr>
        <w:pStyle w:val="ListNumber"/>
        <w:spacing w:after="60" w:line="259" w:lineRule="auto"/>
      </w:pPr>
      <w:r>
        <w:rPr>
          <w:rFonts w:ascii="Calibri" w:hAnsi="Calibri"/>
          <w:color w:val="1F2937"/>
          <w:sz w:val="21"/>
        </w:rPr>
        <w:t>Select the implementation and review model providers, including permitted repositories and data-handling constraints.</w:t>
      </w:r>
    </w:p>
    <w:p>
      <w:pPr>
        <w:pStyle w:val="ListNumber"/>
        <w:spacing w:after="60" w:line="259" w:lineRule="auto"/>
      </w:pPr>
      <w:r>
        <w:rPr>
          <w:rFonts w:ascii="Calibri" w:hAnsi="Calibri"/>
          <w:color w:val="1F2937"/>
          <w:sz w:val="21"/>
        </w:rPr>
        <w:t>Confirm task policy: required acceptance criteria, test standards, approval thresholds, and maximum execution/time budgets.</w:t>
      </w:r>
    </w:p>
    <w:p>
      <w:pPr>
        <w:pStyle w:val="ListNumber"/>
        <w:spacing w:after="60" w:line="259" w:lineRule="auto"/>
      </w:pPr>
      <w:r>
        <w:rPr>
          <w:rFonts w:ascii="Calibri" w:hAnsi="Calibri"/>
          <w:color w:val="1F2937"/>
          <w:sz w:val="21"/>
        </w:rPr>
        <w:t>Define delivery governance: who may authorize PR creation, which remotes are permitted, and whether human approval is needed before merge.</w:t>
      </w:r>
    </w:p>
    <w:p>
      <w:pPr>
        <w:pStyle w:val="ListNumber"/>
        <w:spacing w:after="60" w:line="259" w:lineRule="auto"/>
      </w:pPr>
      <w:r>
        <w:rPr>
          <w:rFonts w:ascii="Calibri" w:hAnsi="Calibri"/>
          <w:color w:val="1F2937"/>
          <w:sz w:val="21"/>
        </w:rPr>
        <w:t>Agree on observability and retention requirements for task traces, reports, and worktree artifacts.</w:t>
      </w:r>
    </w:p>
    <w:p>
      <w:pPr>
        <w:pStyle w:val="ListNumber"/>
        <w:spacing w:after="60" w:line="259" w:lineRule="auto"/>
      </w:pPr>
      <w:r>
        <w:rPr>
          <w:rFonts w:ascii="Calibri" w:hAnsi="Calibri"/>
          <w:color w:val="1F2937"/>
          <w:sz w:val="21"/>
        </w:rPr>
        <w:t>Approve the phased roadmap: single-task controlled delivery, sequential queue, then optional parallel execution.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573"/>
        <w:sz w:val="16"/>
      </w:rPr>
      <w:t>Client architecture overview | Confidential working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B6573"/>
        <w:sz w:val="17"/>
      </w:rPr>
      <w:t>MYCODEAGENT | HIGH-LEVEL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