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Times New Roman" w:hAnsi="Times New Roman"/>
          <w:b/>
          <w:i w:val="0"/>
          <w:color w:val="1F3864"/>
          <w:sz w:val="36"/>
        </w:rPr>
        <w:t>AI-Powered Real-Time Traffic Violation Detection System with Lighting-Adaptive Pre-Processing</w:t>
      </w:r>
    </w:p>
    <w:p>
      <w:pPr>
        <w:spacing w:before="0" w:after="160"/>
        <w:jc w:val="center"/>
      </w:pPr>
      <w:r>
        <w:rPr>
          <w:rFonts w:ascii="Times New Roman" w:hAnsi="Times New Roman"/>
          <w:b w:val="0"/>
          <w:i/>
          <w:color w:val="2E5B82"/>
          <w:sz w:val="23"/>
        </w:rPr>
        <w:t>DA2 Comprehensive Project Review Report — Chapters I to VII (IEEE Technical Format)</w:t>
      </w:r>
    </w:p>
    <w:p>
      <w:pPr>
        <w:spacing w:before="80" w:after="40"/>
        <w:jc w:val="center"/>
      </w:pPr>
      <w:r>
        <w:rPr>
          <w:rFonts w:ascii="Times New Roman" w:hAnsi="Times New Roman"/>
          <w:b/>
          <w:i w:val="0"/>
          <w:color w:val="1F3864"/>
          <w:sz w:val="20"/>
        </w:rPr>
        <w:t>Srivardhan Reddy</w:t>
      </w:r>
      <w:r>
        <w:rPr>
          <w:rFonts w:ascii="Times New Roman" w:hAnsi="Times New Roman"/>
          <w:b w:val="0"/>
          <w:i w:val="0"/>
          <w:color w:val="595959"/>
          <w:sz w:val="19"/>
        </w:rPr>
        <w:t xml:space="preserve"> (24BRS1342)</w:t>
      </w:r>
      <w:r>
        <w:rPr>
          <w:rFonts w:ascii="Times New Roman" w:hAnsi="Times New Roman"/>
          <w:b/>
          <w:i w:val="0"/>
          <w:color w:val="595959"/>
          <w:sz w:val="19"/>
        </w:rPr>
        <w:t xml:space="preserve">   |   </w:t>
      </w:r>
      <w:r>
        <w:rPr>
          <w:rFonts w:ascii="Times New Roman" w:hAnsi="Times New Roman"/>
          <w:b/>
          <w:i w:val="0"/>
          <w:color w:val="1F3864"/>
          <w:sz w:val="20"/>
        </w:rPr>
        <w:t>Tapas Rai</w:t>
      </w:r>
      <w:r>
        <w:rPr>
          <w:rFonts w:ascii="Times New Roman" w:hAnsi="Times New Roman"/>
          <w:b w:val="0"/>
          <w:i w:val="0"/>
          <w:color w:val="595959"/>
          <w:sz w:val="19"/>
        </w:rPr>
        <w:t xml:space="preserve"> (24BRS1366)</w:t>
      </w:r>
      <w:r>
        <w:rPr>
          <w:rFonts w:ascii="Times New Roman" w:hAnsi="Times New Roman"/>
          <w:b/>
          <w:i w:val="0"/>
          <w:color w:val="595959"/>
          <w:sz w:val="19"/>
        </w:rPr>
        <w:t xml:space="preserve">   |   </w:t>
      </w:r>
      <w:r>
        <w:rPr>
          <w:rFonts w:ascii="Times New Roman" w:hAnsi="Times New Roman"/>
          <w:b/>
          <w:i w:val="0"/>
          <w:color w:val="1F3864"/>
          <w:sz w:val="20"/>
        </w:rPr>
        <w:t>Ritesh Raj</w:t>
      </w:r>
      <w:r>
        <w:rPr>
          <w:rFonts w:ascii="Times New Roman" w:hAnsi="Times New Roman"/>
          <w:b w:val="0"/>
          <w:i w:val="0"/>
          <w:color w:val="595959"/>
          <w:sz w:val="19"/>
        </w:rPr>
        <w:t xml:space="preserve"> (24BRS1337)</w:t>
      </w:r>
    </w:p>
    <w:p>
      <w:pPr>
        <w:spacing w:before="40" w:after="280"/>
        <w:jc w:val="center"/>
      </w:pPr>
      <w:r>
        <w:rPr>
          <w:rFonts w:ascii="Times New Roman" w:hAnsi="Times New Roman"/>
          <w:b w:val="0"/>
          <w:i/>
          <w:color w:val="595959"/>
          <w:sz w:val="18"/>
        </w:rPr>
        <w:t>School of Computer Science and Engineering (AI &amp; Robotics)</w:t>
        <w:br/>
        <w:t>Vellore Institute of Technology (VIT), Chennai — 600127, Tamil Nadu, India</w:t>
      </w:r>
    </w:p>
    <w:tbl>
      <w:tblPr>
        <w:tblW w:type="auto" w:w="0"/>
        <w:jc w:val="center"/>
        <w:tblLayout w:type="fixed"/>
        <w:tblLook w:firstColumn="1" w:firstRow="1" w:lastColumn="0" w:lastRow="0" w:noHBand="0" w:noVBand="1" w:val="04A0"/>
      </w:tblPr>
      <w:tblGrid>
        <w:gridCol w:w="9792"/>
      </w:tblGrid>
      <w:tr>
        <w:tc>
          <w:tcPr>
            <w:tcW w:type="dxa" w:w="9638"/>
            <w:shd w:fill="F2F5F9"/>
            <w:tcBorders>
              <w:top w:val="none"/>
              <w:left w:val="single" w:sz="24" w:space="0" w:color="1F3864"/>
              <w:bottom w:val="none"/>
              <w:right w:val="none"/>
            </w:tcBorders>
          </w:tcPr>
          <w:p>
            <w:pPr>
              <w:spacing w:before="60" w:after="60" w:line="276" w:lineRule="auto"/>
            </w:pPr>
            <w:r>
              <w:rPr>
                <w:rFonts w:ascii="Times New Roman" w:hAnsi="Times New Roman"/>
                <w:b/>
                <w:i w:val="0"/>
                <w:color w:val="1F3864"/>
                <w:sz w:val="20"/>
              </w:rPr>
              <w:t>EXECUTIVE SUMMARY / ABSTRACT</w:t>
              <w:br/>
            </w:r>
            <w:r>
              <w:rPr>
                <w:rFonts w:ascii="Times New Roman" w:hAnsi="Times New Roman"/>
                <w:b w:val="0"/>
                <w:i/>
                <w:color w:val="262626"/>
                <w:sz w:val="19"/>
              </w:rPr>
              <w:t>Abstract— This project report presents the design, mathematical formulation, complete algorithmic implementation, and empirical evaluation of an autonomous, edge-compatible AI Traffic Violation Detection System specifically engineered for two-wheeler vehicles in high-density urban traffic. Utilizing an end-to-end multi-stage deep learning pipeline, the architecture integrates YOLOv8 for vehicle and pedestrian detection, ByteTrack for persistent vehicle identity tracking across occlusions, an expanded spatial-geometric association model for rider allocation, and a custom multi-task YOLOv8 model for simultaneous helmet compliance classification and license plate localization. To overcome the critical operational failure of standard computer vision detectors under nocturnal and low-light surveillance conditions, a non-intrusive, camera-agnostic pre-processing stage is introduced: incoming video frames are dynamically evaluated using color-space luminance analysis and adaptively enhanced via Contrast-Limited Adaptive Histogram Equalization (CLAHE) coupled with power-law gamma correction in the LAB perceptual domain. Confirmed violations—specifically No-Helmet riding and Triple Riding (&gt;2 passengers)—trigger an event-driven Optical Character Recognition (OCR) sub-routine utilizing EasyOCR to extract vehicle registration plates, which are transactionally recorded alongside visual image evidence into a relational MySQL database. Rigorous comparative experimentation reveals that while standard baseline detection drops severely at night (mAP@0.5 falling from 0.91 to 0.62), the proposed lighting-adaptive pipeline successfully recovers nocturnal detection performance to 0.83 (+21% absolute gain) at real-time throughput (~28–38 FPS) on commodity hardware without requiring specialized infrared thermal cameras or model retraining.</w:t>
            </w:r>
          </w:p>
        </w:tc>
      </w:tr>
    </w:tbl>
    <w:p>
      <w:pPr>
        <w:spacing w:after="40"/>
      </w:pPr>
    </w:p>
    <w:p>
      <w:pPr>
        <w:spacing w:before="40" w:after="160"/>
      </w:pPr>
      <w:r>
        <w:rPr>
          <w:rFonts w:ascii="Times New Roman" w:hAnsi="Times New Roman"/>
          <w:b/>
          <w:i/>
          <w:color w:val="1F3864"/>
          <w:sz w:val="19"/>
        </w:rPr>
        <w:t xml:space="preserve">Index Terms— </w:t>
      </w:r>
      <w:r>
        <w:rPr>
          <w:rFonts w:ascii="Times New Roman" w:hAnsi="Times New Roman"/>
          <w:b w:val="0"/>
          <w:i/>
          <w:color w:val="262626"/>
          <w:sz w:val="19"/>
        </w:rPr>
        <w:t>Intelligent Transportation Systems (ITS), YOLOv8, ByteTrack, Helmet Violation Detection, Triple Riding, CLAHE, Low-Light Image Enhancement, License Plate Recognition, EasyOCR, Edge Computer Vision.</w:t>
      </w:r>
    </w:p>
    <w:p>
      <w:pPr>
        <w:keepNext/>
        <w:spacing w:before="280" w:after="80"/>
      </w:pPr>
      <w:r>
        <w:rPr>
          <w:rFonts w:ascii="Times New Roman" w:hAnsi="Times New Roman"/>
          <w:b/>
          <w:i w:val="0"/>
          <w:color w:val="1F3864"/>
          <w:sz w:val="24"/>
        </w:rPr>
        <w:t>I. INTRODUCTION AND MOTIVATION</w:t>
      </w:r>
    </w:p>
    <w:p>
      <w:pPr>
        <w:keepNext/>
        <w:spacing w:before="200" w:after="60"/>
      </w:pPr>
      <w:r>
        <w:rPr>
          <w:rFonts w:ascii="Times New Roman" w:hAnsi="Times New Roman"/>
          <w:b/>
          <w:i/>
          <w:color w:val="2E5B82"/>
          <w:sz w:val="21"/>
        </w:rPr>
        <w:t>A. Road Safety Dynamics and the Two-Wheeler Crisis</w:t>
      </w:r>
    </w:p>
    <w:p>
      <w:pPr>
        <w:spacing w:before="0" w:after="80" w:line="276" w:lineRule="auto"/>
        <w:jc w:val="both"/>
      </w:pPr>
      <w:r>
        <w:rPr>
          <w:rFonts w:ascii="Times New Roman" w:hAnsi="Times New Roman"/>
          <w:b w:val="0"/>
          <w:i w:val="0"/>
          <w:color w:val="262626"/>
          <w:sz w:val="20"/>
        </w:rPr>
        <w:t>Motorized two-wheelers constitute the dominant mode of personal transit across developing nations, accounting for over 70% of the total registered vehicular volume in India. However, due to their inherent aerodynamic instability, lack of protective cabin enclosures, and frequent overcrowding, two-wheeler occupants represent the most vulnerable demographic on urban roadways. According to empirical crash statistics published by the Ministry of Road Transport and Highways (MoRTH), road accidents claim more than 400,000 lives annually in India. Crucially, two-wheeler accidents account for over 44% of all fatal road collisions, with approximately 30% of these fatalities directly attributable to non-compliance with helmet safety regulations.</w:t>
      </w:r>
    </w:p>
    <w:p>
      <w:pPr>
        <w:spacing w:before="0" w:after="80" w:line="276" w:lineRule="auto"/>
        <w:jc w:val="both"/>
      </w:pPr>
      <w:r>
        <w:rPr>
          <w:rFonts w:ascii="Times New Roman" w:hAnsi="Times New Roman"/>
          <w:b w:val="0"/>
          <w:i w:val="0"/>
          <w:color w:val="262626"/>
          <w:sz w:val="20"/>
        </w:rPr>
        <w:t>Beyond helmet compliance, illegal passenger overloading—commonly termed 'Triple Riding' (accommodating three or more individuals on a single two-wheeler chassis designed for two)—critically degrades vehicle handling, increases braking distances, and magnifies passenger ejection risks during sudden deceleration. While strict motor vehicle legislation penalizes both offenses, widespread non-compliance persists, primarily fueled by the structural limitations of existing enforcement mechanisms.</w:t>
      </w:r>
    </w:p>
    <w:p>
      <w:pPr>
        <w:keepNext/>
        <w:spacing w:before="200" w:after="60"/>
      </w:pPr>
      <w:r>
        <w:rPr>
          <w:rFonts w:ascii="Times New Roman" w:hAnsi="Times New Roman"/>
          <w:b/>
          <w:i/>
          <w:color w:val="2E5B82"/>
          <w:sz w:val="21"/>
        </w:rPr>
        <w:t>B. Limitations of Conventional Manual Traffic Enforcement</w:t>
      </w:r>
    </w:p>
    <w:p>
      <w:pPr>
        <w:spacing w:before="0" w:after="80" w:line="276" w:lineRule="auto"/>
        <w:jc w:val="both"/>
      </w:pPr>
      <w:r>
        <w:rPr>
          <w:rFonts w:ascii="Times New Roman" w:hAnsi="Times New Roman"/>
          <w:b w:val="0"/>
          <w:i w:val="0"/>
          <w:color w:val="262626"/>
          <w:sz w:val="20"/>
        </w:rPr>
        <w:t>Traditional traffic enforcement depends predominantly on manual visual interception by traffic police personnel deployed at fixed intersections. This operational paradigm exhibits multiple critical deficiencies:</w:t>
      </w:r>
    </w:p>
    <w:p>
      <w:pPr>
        <w:pStyle w:val="ListBullet"/>
        <w:spacing w:before="20" w:after="60" w:line="276" w:lineRule="auto"/>
        <w:jc w:val="both"/>
      </w:pPr>
      <w:r>
        <w:rPr>
          <w:rFonts w:ascii="Times New Roman" w:hAnsi="Times New Roman"/>
          <w:b/>
          <w:i w:val="0"/>
          <w:color w:val="262626"/>
          <w:sz w:val="20"/>
        </w:rPr>
        <w:t xml:space="preserve">Cognitive Fatigue: </w:t>
      </w:r>
      <w:r>
        <w:rPr>
          <w:rFonts w:ascii="Times New Roman" w:hAnsi="Times New Roman"/>
          <w:b w:val="0"/>
          <w:i w:val="0"/>
          <w:color w:val="262626"/>
          <w:sz w:val="20"/>
        </w:rPr>
        <w:t>Human physical and cognitive fatigue severely restricts surveillance continuity, particularly during multi-shift operations.</w:t>
      </w:r>
    </w:p>
    <w:p>
      <w:pPr>
        <w:pStyle w:val="ListBullet"/>
        <w:spacing w:before="20" w:after="60" w:line="276" w:lineRule="auto"/>
        <w:jc w:val="both"/>
      </w:pPr>
      <w:r>
        <w:rPr>
          <w:rFonts w:ascii="Times New Roman" w:hAnsi="Times New Roman"/>
          <w:b/>
          <w:i w:val="0"/>
          <w:color w:val="262626"/>
          <w:sz w:val="20"/>
        </w:rPr>
        <w:t xml:space="preserve">Geographic Inscalability: </w:t>
      </w:r>
      <w:r>
        <w:rPr>
          <w:rFonts w:ascii="Times New Roman" w:hAnsi="Times New Roman"/>
          <w:b w:val="0"/>
          <w:i w:val="0"/>
          <w:color w:val="262626"/>
          <w:sz w:val="20"/>
        </w:rPr>
        <w:t>Manual policing is physically impossible to scale across every arterial roadway, suburban junction, and rural bypass simultaneously.</w:t>
      </w:r>
    </w:p>
    <w:p>
      <w:pPr>
        <w:pStyle w:val="ListBullet"/>
        <w:spacing w:before="20" w:after="60" w:line="276" w:lineRule="auto"/>
        <w:jc w:val="both"/>
      </w:pPr>
      <w:r>
        <w:rPr>
          <w:rFonts w:ascii="Times New Roman" w:hAnsi="Times New Roman"/>
          <w:b/>
          <w:i w:val="0"/>
          <w:color w:val="262626"/>
          <w:sz w:val="20"/>
        </w:rPr>
        <w:t xml:space="preserve">Safety Hazards: </w:t>
      </w:r>
      <w:r>
        <w:rPr>
          <w:rFonts w:ascii="Times New Roman" w:hAnsi="Times New Roman"/>
          <w:b w:val="0"/>
          <w:i w:val="0"/>
          <w:color w:val="262626"/>
          <w:sz w:val="20"/>
        </w:rPr>
        <w:t>Physical interception on high-speed thoroughfares creates severe safety hazards for both enforcement officers and commuters.</w:t>
      </w:r>
    </w:p>
    <w:p>
      <w:pPr>
        <w:pStyle w:val="ListBullet"/>
        <w:spacing w:before="20" w:after="60" w:line="276" w:lineRule="auto"/>
        <w:jc w:val="both"/>
      </w:pPr>
      <w:r>
        <w:rPr>
          <w:rFonts w:ascii="Times New Roman" w:hAnsi="Times New Roman"/>
          <w:b/>
          <w:i w:val="0"/>
          <w:color w:val="262626"/>
          <w:sz w:val="20"/>
        </w:rPr>
        <w:t xml:space="preserve">Enforcement Inconsistency: </w:t>
      </w:r>
      <w:r>
        <w:rPr>
          <w:rFonts w:ascii="Times New Roman" w:hAnsi="Times New Roman"/>
          <w:b w:val="0"/>
          <w:i w:val="0"/>
          <w:color w:val="262626"/>
          <w:sz w:val="20"/>
        </w:rPr>
        <w:t>Physical checks introduce subjective discretion, potential altercation, and non-standardized documentation of violation events.</w:t>
      </w:r>
    </w:p>
    <w:p>
      <w:pPr>
        <w:keepNext/>
        <w:spacing w:before="200" w:after="60"/>
      </w:pPr>
      <w:r>
        <w:rPr>
          <w:rFonts w:ascii="Times New Roman" w:hAnsi="Times New Roman"/>
          <w:b/>
          <w:i/>
          <w:color w:val="2E5B82"/>
          <w:sz w:val="21"/>
        </w:rPr>
        <w:t>C. Project Objectives</w:t>
      </w:r>
    </w:p>
    <w:p>
      <w:pPr>
        <w:spacing w:before="0" w:after="80" w:line="276" w:lineRule="auto"/>
        <w:jc w:val="both"/>
      </w:pPr>
      <w:r>
        <w:rPr>
          <w:rFonts w:ascii="Times New Roman" w:hAnsi="Times New Roman"/>
          <w:b w:val="0"/>
          <w:i w:val="0"/>
          <w:color w:val="262626"/>
          <w:sz w:val="20"/>
        </w:rPr>
        <w:t>To eliminate manual dependency and transition toward automated 24/7 intelligent traffic monitoring, this project defines six concrete, interlocking engineering objectives formulated during Review 1 (DA1) and realized in this implementation:</w:t>
      </w:r>
    </w:p>
    <w:p>
      <w:pPr>
        <w:pStyle w:val="ListBullet"/>
        <w:spacing w:before="20" w:after="60" w:line="276" w:lineRule="auto"/>
        <w:jc w:val="both"/>
      </w:pPr>
      <w:r>
        <w:rPr>
          <w:rFonts w:ascii="Times New Roman" w:hAnsi="Times New Roman"/>
          <w:b/>
          <w:i w:val="0"/>
          <w:color w:val="262626"/>
          <w:sz w:val="20"/>
        </w:rPr>
        <w:t xml:space="preserve">1. Deep Object Detection &amp; Tracking: </w:t>
      </w:r>
      <w:r>
        <w:rPr>
          <w:rFonts w:ascii="Times New Roman" w:hAnsi="Times New Roman"/>
          <w:b w:val="0"/>
          <w:i w:val="0"/>
          <w:color w:val="262626"/>
          <w:sz w:val="20"/>
        </w:rPr>
        <w:t>Deploy a single-stage convolutional architecture (YOLOv8) to localize motorcycles and pedestrians simultaneously in live video streams, assigning persistent spatiotemporal tracking IDs.</w:t>
      </w:r>
    </w:p>
    <w:p>
      <w:pPr>
        <w:pStyle w:val="ListBullet"/>
        <w:spacing w:before="20" w:after="60" w:line="276" w:lineRule="auto"/>
        <w:jc w:val="both"/>
      </w:pPr>
      <w:r>
        <w:rPr>
          <w:rFonts w:ascii="Times New Roman" w:hAnsi="Times New Roman"/>
          <w:b/>
          <w:i w:val="0"/>
          <w:color w:val="262626"/>
          <w:sz w:val="20"/>
        </w:rPr>
        <w:t xml:space="preserve">2. Geometric Rider-to-Bike Allocation: </w:t>
      </w:r>
      <w:r>
        <w:rPr>
          <w:rFonts w:ascii="Times New Roman" w:hAnsi="Times New Roman"/>
          <w:b w:val="0"/>
          <w:i w:val="0"/>
          <w:color w:val="262626"/>
          <w:sz w:val="20"/>
        </w:rPr>
        <w:t>Develop a spatial geometric association heuristic that robustly maps detected individuals to their respective motorcycle chassis, accounting for rider posture and elevation.</w:t>
      </w:r>
    </w:p>
    <w:p>
      <w:pPr>
        <w:pStyle w:val="ListBullet"/>
        <w:spacing w:before="20" w:after="60" w:line="276" w:lineRule="auto"/>
        <w:jc w:val="both"/>
      </w:pPr>
      <w:r>
        <w:rPr>
          <w:rFonts w:ascii="Times New Roman" w:hAnsi="Times New Roman"/>
          <w:b/>
          <w:i w:val="0"/>
          <w:color w:val="262626"/>
          <w:sz w:val="20"/>
        </w:rPr>
        <w:t xml:space="preserve">3. Multi-Class Helmet Compliance: </w:t>
      </w:r>
      <w:r>
        <w:rPr>
          <w:rFonts w:ascii="Times New Roman" w:hAnsi="Times New Roman"/>
          <w:b w:val="0"/>
          <w:i w:val="0"/>
          <w:color w:val="262626"/>
          <w:sz w:val="20"/>
        </w:rPr>
        <w:t>Execute a specialized secondary classification model (`helmet.pt`) trained to discriminate between helmeted and unhelmeted rider heads under dynamic real-world perspectives.</w:t>
      </w:r>
    </w:p>
    <w:p>
      <w:pPr>
        <w:pStyle w:val="ListBullet"/>
        <w:spacing w:before="20" w:after="60" w:line="276" w:lineRule="auto"/>
        <w:jc w:val="both"/>
      </w:pPr>
      <w:r>
        <w:rPr>
          <w:rFonts w:ascii="Times New Roman" w:hAnsi="Times New Roman"/>
          <w:b/>
          <w:i w:val="0"/>
          <w:color w:val="262626"/>
          <w:sz w:val="20"/>
        </w:rPr>
        <w:t xml:space="preserve">4. Rule-Based Violation Synthesis: </w:t>
      </w:r>
      <w:r>
        <w:rPr>
          <w:rFonts w:ascii="Times New Roman" w:hAnsi="Times New Roman"/>
          <w:b w:val="0"/>
          <w:i w:val="0"/>
          <w:color w:val="262626"/>
          <w:sz w:val="20"/>
        </w:rPr>
        <w:t>Implement an explainable, deterministic rule engine that audits rider counts (&gt;2 indicates Triple Riding) and head safety classifications without black-box opacity.</w:t>
      </w:r>
    </w:p>
    <w:p>
      <w:pPr>
        <w:pStyle w:val="ListBullet"/>
        <w:spacing w:before="20" w:after="60" w:line="276" w:lineRule="auto"/>
        <w:jc w:val="both"/>
      </w:pPr>
      <w:r>
        <w:rPr>
          <w:rFonts w:ascii="Times New Roman" w:hAnsi="Times New Roman"/>
          <w:b/>
          <w:i w:val="0"/>
          <w:color w:val="262626"/>
          <w:sz w:val="20"/>
        </w:rPr>
        <w:t xml:space="preserve">5. Event-Driven Plate Recognition: </w:t>
      </w:r>
      <w:r>
        <w:rPr>
          <w:rFonts w:ascii="Times New Roman" w:hAnsi="Times New Roman"/>
          <w:b w:val="0"/>
          <w:i w:val="0"/>
          <w:color w:val="262626"/>
          <w:sz w:val="20"/>
        </w:rPr>
        <w:t>Trigger Optical Character Recognition (EasyOCR) exclusively upon confirmed violation events to transcribe registration numbers while keeping non-violating frames computationally lightweight.</w:t>
      </w:r>
    </w:p>
    <w:p>
      <w:pPr>
        <w:pStyle w:val="ListBullet"/>
        <w:spacing w:before="20" w:after="60" w:line="276" w:lineRule="auto"/>
        <w:jc w:val="both"/>
      </w:pPr>
      <w:r>
        <w:rPr>
          <w:rFonts w:ascii="Times New Roman" w:hAnsi="Times New Roman"/>
          <w:b/>
          <w:i w:val="0"/>
          <w:color w:val="262626"/>
          <w:sz w:val="20"/>
        </w:rPr>
        <w:t xml:space="preserve">6. Evidentiary Audit Persistence: </w:t>
      </w:r>
      <w:r>
        <w:rPr>
          <w:rFonts w:ascii="Times New Roman" w:hAnsi="Times New Roman"/>
          <w:b w:val="0"/>
          <w:i w:val="0"/>
          <w:color w:val="262626"/>
          <w:sz w:val="20"/>
        </w:rPr>
        <w:t>Automatically archive annotated high-resolution evidentiary frame snapshots and transactionally log violation metadata into an auditable relational database (MySQL).</w:t>
      </w:r>
    </w:p>
    <w:p>
      <w:pPr>
        <w:keepNext/>
        <w:spacing w:before="280" w:after="80"/>
      </w:pPr>
      <w:r>
        <w:rPr>
          <w:rFonts w:ascii="Times New Roman" w:hAnsi="Times New Roman"/>
          <w:b/>
          <w:i w:val="0"/>
          <w:color w:val="1F3864"/>
          <w:sz w:val="24"/>
        </w:rPr>
        <w:t>II. LITERATURE REVIEW AND PROBLEM FORMULATION</w:t>
      </w:r>
    </w:p>
    <w:p>
      <w:pPr>
        <w:keepNext/>
        <w:spacing w:before="200" w:after="60"/>
      </w:pPr>
      <w:r>
        <w:rPr>
          <w:rFonts w:ascii="Times New Roman" w:hAnsi="Times New Roman"/>
          <w:b/>
          <w:i/>
          <w:color w:val="2E5B82"/>
          <w:sz w:val="21"/>
        </w:rPr>
        <w:t>A. Review of Existing Automated Traffic Systems</w:t>
      </w:r>
    </w:p>
    <w:p>
      <w:pPr>
        <w:spacing w:before="0" w:after="80" w:line="276" w:lineRule="auto"/>
        <w:jc w:val="both"/>
      </w:pPr>
      <w:r>
        <w:rPr>
          <w:rFonts w:ascii="Times New Roman" w:hAnsi="Times New Roman"/>
          <w:b w:val="0"/>
          <w:i w:val="0"/>
          <w:color w:val="262626"/>
          <w:sz w:val="20"/>
        </w:rPr>
        <w:t>Automated traffic surveillance systems have progressed significantly over the past decade; however, existing commercial solutions exhibit severe domain-specific blind spots:</w:t>
      </w:r>
    </w:p>
    <w:p>
      <w:pPr>
        <w:pStyle w:val="ListBullet"/>
        <w:spacing w:before="20" w:after="60" w:line="276" w:lineRule="auto"/>
        <w:jc w:val="both"/>
      </w:pPr>
      <w:r>
        <w:rPr>
          <w:rFonts w:ascii="Times New Roman" w:hAnsi="Times New Roman"/>
          <w:b/>
          <w:i w:val="0"/>
          <w:color w:val="262626"/>
          <w:sz w:val="20"/>
        </w:rPr>
        <w:t xml:space="preserve">Fixed ANPR Systems: </w:t>
      </w:r>
      <w:r>
        <w:rPr>
          <w:rFonts w:ascii="Times New Roman" w:hAnsi="Times New Roman"/>
          <w:b w:val="0"/>
          <w:i w:val="0"/>
          <w:color w:val="262626"/>
          <w:sz w:val="20"/>
        </w:rPr>
        <w:t>Conventional Automatic Number Plate Recognition (ANPR) systems deployed at toll plazas and speed traps are engineered strictly to capture flat front/rear license plates triggered by inductive loops or radar sensors. They lack visual contextual understanding to evaluate rider posture or passenger counts.</w:t>
      </w:r>
    </w:p>
    <w:p>
      <w:pPr>
        <w:pStyle w:val="ListBullet"/>
        <w:spacing w:before="20" w:after="60" w:line="276" w:lineRule="auto"/>
        <w:jc w:val="both"/>
      </w:pPr>
      <w:r>
        <w:rPr>
          <w:rFonts w:ascii="Times New Roman" w:hAnsi="Times New Roman"/>
          <w:b/>
          <w:i w:val="0"/>
          <w:color w:val="262626"/>
          <w:sz w:val="20"/>
        </w:rPr>
        <w:t xml:space="preserve">Passive CCTV Surveillance: </w:t>
      </w:r>
      <w:r>
        <w:rPr>
          <w:rFonts w:ascii="Times New Roman" w:hAnsi="Times New Roman"/>
          <w:b w:val="0"/>
          <w:i w:val="0"/>
          <w:color w:val="262626"/>
          <w:sz w:val="20"/>
        </w:rPr>
        <w:t>Municipal camera networks capture massive video streams but remain fundamentally passive, archiving petabytes of footage for retrospective manual forensic investigation following an accident rather than executing proactive, real-time intervention.</w:t>
      </w:r>
    </w:p>
    <w:p>
      <w:pPr>
        <w:pStyle w:val="ListBullet"/>
        <w:spacing w:before="20" w:after="60" w:line="276" w:lineRule="auto"/>
        <w:jc w:val="both"/>
      </w:pPr>
      <w:r>
        <w:rPr>
          <w:rFonts w:ascii="Times New Roman" w:hAnsi="Times New Roman"/>
          <w:b/>
          <w:i w:val="0"/>
          <w:color w:val="262626"/>
          <w:sz w:val="20"/>
        </w:rPr>
        <w:t xml:space="preserve">Generic Object Detectors: </w:t>
      </w:r>
      <w:r>
        <w:rPr>
          <w:rFonts w:ascii="Times New Roman" w:hAnsi="Times New Roman"/>
          <w:b w:val="0"/>
          <w:i w:val="0"/>
          <w:color w:val="262626"/>
          <w:sz w:val="20"/>
        </w:rPr>
        <w:t>Standard multi-class vision models (such as vanilla COCO detectors) output isolated bounding boxes for 'person' and 'motorcycle' independently, but fail to reason about relational physics or semantic binding between co-located entities.</w:t>
      </w:r>
    </w:p>
    <w:p>
      <w:pPr>
        <w:keepNext/>
        <w:spacing w:before="200" w:after="60"/>
      </w:pPr>
      <w:r>
        <w:rPr>
          <w:rFonts w:ascii="Times New Roman" w:hAnsi="Times New Roman"/>
          <w:b/>
          <w:i/>
          <w:color w:val="2E5B82"/>
          <w:sz w:val="21"/>
        </w:rPr>
        <w:t>B. The Nocturnal Performance Bottleneck</w:t>
      </w:r>
    </w:p>
    <w:p>
      <w:pPr>
        <w:spacing w:before="0" w:after="80" w:line="276" w:lineRule="auto"/>
        <w:jc w:val="both"/>
      </w:pPr>
      <w:r>
        <w:rPr>
          <w:rFonts w:ascii="Times New Roman" w:hAnsi="Times New Roman"/>
          <w:b w:val="0"/>
          <w:i w:val="0"/>
          <w:color w:val="262626"/>
          <w:sz w:val="20"/>
        </w:rPr>
        <w:t>The paramount operational gap identified during the DA1 project review is the catastrophic performance degradation computer vision models suffer under nocturnal conditions. In real-world urban environments, traffic safety compliance drops most severely during late-evening and night hours when police visibility is lowest. However, optical surveillance cameras operating in low-light environments suffer from severe photon starvation, dynamic range compression, sensor noise amplification, and localized headlight glare. Standard deep neural networks trained predominantly on daylight imagery experience severe feature degradation, resulting in missed detections, bounding box drift, and false alarms.</w:t>
      </w:r>
    </w:p>
    <w:p>
      <w:pPr>
        <w:keepNext/>
        <w:spacing w:before="200" w:after="60"/>
      </w:pPr>
      <w:r>
        <w:rPr>
          <w:rFonts w:ascii="Times New Roman" w:hAnsi="Times New Roman"/>
          <w:b/>
          <w:i/>
          <w:color w:val="2E5B82"/>
          <w:sz w:val="21"/>
        </w:rPr>
        <w:t>C. Formal Problem Statement</w:t>
      </w:r>
    </w:p>
    <w:p>
      <w:pPr>
        <w:spacing w:before="0" w:after="80" w:line="276" w:lineRule="auto"/>
        <w:jc w:val="both"/>
      </w:pPr>
      <w:r>
        <w:rPr>
          <w:rFonts w:ascii="Times New Roman" w:hAnsi="Times New Roman"/>
          <w:b w:val="0"/>
          <w:i w:val="0"/>
          <w:color w:val="262626"/>
          <w:sz w:val="20"/>
        </w:rPr>
        <w:t>There exists an urgent, unmet requirement for an autonomous, edge-deployable computer vision framework capable of ingesting standard visible-spectrum CCTV footage, dynamically mitigating nocturnal illumination deficits in real time without proprietary thermal hardware, accurately associating riders to two-wheelers, auditing dual safety violations (No Helmet and Triple Riding), and establishing an indisputable chain of evidentiary documentation through automated number plate recognition and relational logging.</w:t>
      </w:r>
    </w:p>
    <w:p>
      <w:pPr>
        <w:keepNext/>
        <w:spacing w:before="280" w:after="80"/>
      </w:pPr>
      <w:r>
        <w:rPr>
          <w:rFonts w:ascii="Times New Roman" w:hAnsi="Times New Roman"/>
          <w:b/>
          <w:i w:val="0"/>
          <w:color w:val="1F3864"/>
          <w:sz w:val="24"/>
        </w:rPr>
        <w:t>III. PROPOSED METHODOLOGY AND ARCHITECTURE</w:t>
      </w:r>
    </w:p>
    <w:p>
      <w:pPr>
        <w:keepNext/>
        <w:spacing w:before="200" w:after="60"/>
      </w:pPr>
      <w:r>
        <w:rPr>
          <w:rFonts w:ascii="Times New Roman" w:hAnsi="Times New Roman"/>
          <w:b/>
          <w:i/>
          <w:color w:val="2E5B82"/>
          <w:sz w:val="21"/>
        </w:rPr>
        <w:t>A. Architectural Paradigm</w:t>
      </w:r>
    </w:p>
    <w:p>
      <w:pPr>
        <w:spacing w:before="0" w:after="80" w:line="276" w:lineRule="auto"/>
        <w:jc w:val="both"/>
      </w:pPr>
      <w:r>
        <w:rPr>
          <w:rFonts w:ascii="Times New Roman" w:hAnsi="Times New Roman"/>
          <w:b w:val="0"/>
          <w:i w:val="0"/>
          <w:color w:val="262626"/>
          <w:sz w:val="20"/>
        </w:rPr>
        <w:t>The system architecture follows a modular, feed-forward streaming pipeline designed to process high-definition video frames (1280×720) with minimal latency. Rather than executing a computationally prohibitive monolithic deep network that attempts joint detection, pose estimation, and text recognition across the entire canvas simultaneously, the system employs a decomposed hierarchical design. Processing is distributed across specialized stages: input normalization, adaptive illumination conditioning, primary vehicle-pedestrian tracking, spatial-geometric association, fine-grained helmet/plate classification on localized crops, rule auditing, and event-driven OCR.</w:t>
      </w:r>
    </w:p>
    <w:p>
      <w:pPr>
        <w:keepNext/>
        <w:spacing w:before="200" w:after="60"/>
      </w:pPr>
      <w:r>
        <w:rPr>
          <w:rFonts w:ascii="Times New Roman" w:hAnsi="Times New Roman"/>
          <w:b/>
          <w:i/>
          <w:color w:val="2E5B82"/>
          <w:sz w:val="21"/>
        </w:rPr>
        <w:t>B. Novelty and USP Statement: 24/7 Software-Driven Night Mode</w:t>
      </w:r>
    </w:p>
    <w:p>
      <w:pPr>
        <w:spacing w:before="0" w:after="80" w:line="276" w:lineRule="auto"/>
        <w:jc w:val="both"/>
      </w:pPr>
      <w:r>
        <w:rPr>
          <w:rFonts w:ascii="Times New Roman" w:hAnsi="Times New Roman"/>
          <w:b w:val="0"/>
          <w:i w:val="0"/>
          <w:color w:val="262626"/>
          <w:sz w:val="20"/>
        </w:rPr>
        <w:t>The primary technological novelty (USP) introduced in this project is a camera-agnostic, illumination-adaptive pre-processing pipeline that enables 24/7 round-the-clock violation detection using standard, visible-spectrum RGB optical cameras. Unlike industrial night-vision installations that mandate expensive active infrared (IR) illuminators or thermal sensor hardware, our methodology operates purely in software. By dynamically interrogating luminance statistics per frame, the system conditionally applies Contrast-Limited Adaptive Histogram Equalization (CLAHE) and power-law gamma transformation within the LAB perceptual color space prior to deep inference. This pre-conditions degraded nocturnal features to align with the manifold of daylight-trained convolutional filters, recovering night detection accuracy without altering downstream tracking, classification, or OCR networks.</w:t>
      </w:r>
    </w:p>
    <w:p>
      <w:pPr>
        <w:keepNext/>
        <w:spacing w:before="200" w:after="60"/>
      </w:pPr>
      <w:r>
        <w:rPr>
          <w:rFonts w:ascii="Times New Roman" w:hAnsi="Times New Roman"/>
          <w:b/>
          <w:i/>
          <w:color w:val="2E5B82"/>
          <w:sz w:val="21"/>
        </w:rPr>
        <w:t>C. Detailed Module Breakdown</w:t>
      </w:r>
    </w:p>
    <w:p>
      <w:pPr>
        <w:spacing w:before="0" w:after="80" w:line="276" w:lineRule="auto"/>
        <w:jc w:val="both"/>
      </w:pPr>
      <w:r>
        <w:rPr>
          <w:rFonts w:ascii="Times New Roman" w:hAnsi="Times New Roman"/>
          <w:b w:val="0"/>
          <w:i w:val="0"/>
          <w:color w:val="262626"/>
          <w:sz w:val="20"/>
        </w:rPr>
        <w:t>1) Frame Ingestion &amp; Stream Management: Video streams are acquired via OpenCV's VideoCapture backend supporting USB webcams, RTSP network CCTV feeds, or recorded video files. A Tkinter-driven graphical selector allows runtime source selection without script modification. Frames are captured at source frame rate and normalized to a standard processing resolution of 1280×720 pixels.</w:t>
      </w:r>
    </w:p>
    <w:p>
      <w:pPr>
        <w:spacing w:before="0" w:after="80" w:line="276" w:lineRule="auto"/>
        <w:jc w:val="both"/>
      </w:pPr>
      <w:r>
        <w:rPr>
          <w:rFonts w:ascii="Times New Roman" w:hAnsi="Times New Roman"/>
          <w:b w:val="0"/>
          <w:i w:val="0"/>
          <w:color w:val="262626"/>
          <w:sz w:val="20"/>
        </w:rPr>
        <w:t>2) Lighting State Estimation: To prevent unnecessary computational overhead during daylight operation, each incoming frame undergoes a lightweight luminance analysis. The RGB frame is converted to grayscale, and the spatial mean intensity is computed: mu = (1 / (W * H)) * sum(I(x,y)). If mu &lt; T_low (empirically calibrated to 80 on a 0–255 scale), the frame is flagged as low-light and routed to the enhancement stage. If mu &gt;= T_low, the frame bypasses enhancement with zero latency penalty.</w:t>
      </w:r>
    </w:p>
    <w:p>
      <w:pPr>
        <w:spacing w:before="0" w:after="80" w:line="276" w:lineRule="auto"/>
        <w:jc w:val="both"/>
      </w:pPr>
      <w:r>
        <w:rPr>
          <w:rFonts w:ascii="Times New Roman" w:hAnsi="Times New Roman"/>
          <w:b w:val="0"/>
          <w:i w:val="0"/>
          <w:color w:val="262626"/>
          <w:sz w:val="20"/>
        </w:rPr>
        <w:t>3) Perceptual Contrast &amp; Gamma Conditioning: For low-light frames, the image is transformed from BGR to the CIE-LAB color space. Unlike RGB where intensity and chromaticity are coupled across all channels, LAB completely decouples luminance (L) from color-opponent dimensions (A and B). CLAHE is applied exclusively to the L channel (clip limit = 2.0, grid size = 8×8). This enhances localized contrast in shadowed sub-regions while mathematically capping noise over-amplification. Following inverse LAB-to-BGR transformation, an adaptive gamma transformation (gamma = 1.4) is applied via a 256-element pre-computed Look-Up Table (LUT) to lift mid-tone shadows without clipping highlights.</w:t>
      </w:r>
    </w:p>
    <w:p>
      <w:pPr>
        <w:spacing w:before="0" w:after="80" w:line="276" w:lineRule="auto"/>
        <w:jc w:val="both"/>
      </w:pPr>
      <w:r>
        <w:rPr>
          <w:rFonts w:ascii="Times New Roman" w:hAnsi="Times New Roman"/>
          <w:b w:val="0"/>
          <w:i w:val="0"/>
          <w:color w:val="262626"/>
          <w:sz w:val="20"/>
        </w:rPr>
        <w:t>4) Primary Object Localization and Tracking: The conditioned frame is ingested by YOLOv8s, configured to detect Class 0 (Person) and Class 3 (Motorcycle). To eliminate ID switching caused by temporary visual occlusions, the integrated ByteTrack tracker associates detections across consecutive frames using Kalman filtering and bipartite Hungarian matching. Each unique motorcycle maintains a persistent integer tracking ID throughout its transit through the camera's field of view.</w:t>
      </w:r>
    </w:p>
    <w:p>
      <w:pPr>
        <w:spacing w:before="0" w:after="80" w:line="276" w:lineRule="auto"/>
        <w:jc w:val="both"/>
      </w:pPr>
      <w:r>
        <w:rPr>
          <w:rFonts w:ascii="Times New Roman" w:hAnsi="Times New Roman"/>
          <w:b w:val="0"/>
          <w:i w:val="0"/>
          <w:color w:val="262626"/>
          <w:sz w:val="20"/>
        </w:rPr>
        <w:t>5) Spatial-Geometric Rider Association: Conventional bounding-box collision fails because motorcycle bounding boxes encompass only the mechanical chassis, whereas seated riders sit elevated atop the vehicle. To resolve this, our system dynamically computes an Expanded Rider Search Zone for each detected motorcycle [bx1, by1, bx2, by2]:</w:t>
      </w:r>
    </w:p>
    <w:p>
      <w:pPr>
        <w:pStyle w:val="ListBullet"/>
        <w:spacing w:before="20" w:after="60" w:line="276" w:lineRule="auto"/>
        <w:jc w:val="both"/>
      </w:pPr>
      <w:r>
        <w:rPr>
          <w:rFonts w:ascii="Times New Roman" w:hAnsi="Times New Roman"/>
          <w:b/>
          <w:i w:val="0"/>
          <w:color w:val="262626"/>
          <w:sz w:val="20"/>
        </w:rPr>
        <w:t xml:space="preserve">Vertical Upward Expansion: </w:t>
      </w:r>
      <w:r>
        <w:rPr>
          <w:rFonts w:ascii="Times New Roman" w:hAnsi="Times New Roman"/>
          <w:b w:val="0"/>
          <w:i w:val="0"/>
          <w:color w:val="262626"/>
          <w:sz w:val="20"/>
        </w:rPr>
        <w:t>zone_y1 = max(0, by1 - 1.20 * bh)  [expands upward by 120% of chassis height]</w:t>
      </w:r>
    </w:p>
    <w:p>
      <w:pPr>
        <w:pStyle w:val="ListBullet"/>
        <w:spacing w:before="20" w:after="60" w:line="276" w:lineRule="auto"/>
        <w:jc w:val="both"/>
      </w:pPr>
      <w:r>
        <w:rPr>
          <w:rFonts w:ascii="Times New Roman" w:hAnsi="Times New Roman"/>
          <w:b/>
          <w:i w:val="0"/>
          <w:color w:val="262626"/>
          <w:sz w:val="20"/>
        </w:rPr>
        <w:t xml:space="preserve">Lateral Margin: </w:t>
      </w:r>
      <w:r>
        <w:rPr>
          <w:rFonts w:ascii="Times New Roman" w:hAnsi="Times New Roman"/>
          <w:b w:val="0"/>
          <w:i w:val="0"/>
          <w:color w:val="262626"/>
          <w:sz w:val="20"/>
        </w:rPr>
        <w:t>zone_x1 = max(0, bx1 - 0.15 * bw), zone_x2 = min(W, bx2 + 0.15 * bw)  [expands lateral width by 15%]</w:t>
      </w:r>
    </w:p>
    <w:p>
      <w:pPr>
        <w:pStyle w:val="ListBullet"/>
        <w:spacing w:before="20" w:after="60" w:line="276" w:lineRule="auto"/>
        <w:jc w:val="both"/>
      </w:pPr>
      <w:r>
        <w:rPr>
          <w:rFonts w:ascii="Times New Roman" w:hAnsi="Times New Roman"/>
          <w:b/>
          <w:i w:val="0"/>
          <w:color w:val="262626"/>
          <w:sz w:val="20"/>
        </w:rPr>
        <w:t xml:space="preserve">Downward Margin: </w:t>
      </w:r>
      <w:r>
        <w:rPr>
          <w:rFonts w:ascii="Times New Roman" w:hAnsi="Times New Roman"/>
          <w:b w:val="0"/>
          <w:i w:val="0"/>
          <w:color w:val="262626"/>
          <w:sz w:val="20"/>
        </w:rPr>
        <w:t>zone_y2 = min(H, by2 + 0.20 * bh)  [expands downward by 20% to encompass footrests]</w:t>
      </w:r>
    </w:p>
    <w:p>
      <w:pPr>
        <w:spacing w:before="0" w:after="80" w:line="276" w:lineRule="auto"/>
        <w:jc w:val="both"/>
      </w:pPr>
      <w:r>
        <w:rPr>
          <w:rFonts w:ascii="Times New Roman" w:hAnsi="Times New Roman"/>
          <w:b w:val="0"/>
          <w:i w:val="0"/>
          <w:color w:val="262626"/>
          <w:sz w:val="20"/>
        </w:rPr>
        <w:t>For every detected person box, an Intersection-over-Person (IoP) ratio is calculated: IoP = Area(Person cap Zone) / Area(Person). Any individual exhibiting IoP &gt;= 0.20 is geometrically bound as an active rider of that specific motorcycle.</w:t>
      </w:r>
    </w:p>
    <w:p>
      <w:pPr>
        <w:spacing w:before="0" w:after="80" w:line="276" w:lineRule="auto"/>
        <w:jc w:val="both"/>
      </w:pPr>
      <w:r>
        <w:rPr>
          <w:rFonts w:ascii="Times New Roman" w:hAnsi="Times New Roman"/>
          <w:b w:val="0"/>
          <w:i w:val="0"/>
          <w:color w:val="262626"/>
          <w:sz w:val="20"/>
        </w:rPr>
        <w:t>6) Multi-Class Helmet &amp; Plate Inference: A localized crop encompassing the motorcycle and its upward rider zone is extracted and forwarded to `helmet.pt`, our specialized YOLOv8 model trained across four discrete classes: Class 0 (licensePlate), Class 1 (motorcycle), Class 2 (withHelmet), and Class 3 (withoutHelmet). This network detects rider head regions directly, providing an independent head count and flagging unhelmeted individuals. The final rider count is established as rider_count = max(count_yolo_persons, count_helmet_heads), completely mitigating false negatives caused by partial occlusion.</w:t>
      </w:r>
    </w:p>
    <w:p>
      <w:pPr>
        <w:spacing w:before="0" w:after="80" w:line="276" w:lineRule="auto"/>
        <w:jc w:val="both"/>
      </w:pPr>
      <w:r>
        <w:rPr>
          <w:rFonts w:ascii="Times New Roman" w:hAnsi="Times New Roman"/>
          <w:b w:val="0"/>
          <w:i w:val="0"/>
          <w:color w:val="262626"/>
          <w:sz w:val="20"/>
        </w:rPr>
        <w:t>7) Deterministic Rule Auditing: An explainable rule engine evaluates two statutory traffic criteria: (a) Triple Riding: Evaluated as True if rider_count &gt; 2. (b) No Helmet: Evaluated as True if any detected head within the crop is classified as Class 3 (withoutHelmet). If either condition is satisfied, a formal violation episode is instantiated.</w:t>
      </w:r>
    </w:p>
    <w:p>
      <w:pPr>
        <w:spacing w:before="0" w:after="80" w:line="276" w:lineRule="auto"/>
        <w:jc w:val="both"/>
      </w:pPr>
      <w:r>
        <w:rPr>
          <w:rFonts w:ascii="Times New Roman" w:hAnsi="Times New Roman"/>
          <w:b w:val="0"/>
          <w:i w:val="0"/>
          <w:color w:val="262626"/>
          <w:sz w:val="20"/>
        </w:rPr>
        <w:t>8) Event-Triggered ANPR (EasyOCR): Crucially, OCR is never executed on non-violating frames. When a violation is confirmed, EasyOCR is invoked on the localized license plate bounding box identified by the helmet model (or falling back to the lower 40% chassis coordinates). Extracted text strings are filtered using alphanumeric regular expressions (length &gt; 3, confidence &gt; 0.30) to eliminate visual noise.</w:t>
      </w:r>
    </w:p>
    <w:p>
      <w:pPr>
        <w:spacing w:before="0" w:after="80" w:line="276" w:lineRule="auto"/>
        <w:jc w:val="both"/>
      </w:pPr>
      <w:r>
        <w:rPr>
          <w:rFonts w:ascii="Times New Roman" w:hAnsi="Times New Roman"/>
          <w:b w:val="0"/>
          <w:i w:val="0"/>
          <w:color w:val="262626"/>
          <w:sz w:val="20"/>
        </w:rPr>
        <w:t>9) Dual Evidentiary Capture &amp; Database Persistence: Upon confirmed violation, the full 1280×720 annotated frame is archived to disk under `evidence/YYYYMMDD_HHMMSS_BikeID.jpg`. Concurrently, an SQL transaction inserts the violation type, recognized plate string, tracking ID, confidence score, and timestamp into the MySQL `violations` table.</w:t>
      </w:r>
    </w:p>
    <w:p>
      <w:pPr>
        <w:keepNext/>
        <w:spacing w:before="160" w:after="60"/>
        <w:jc w:val="center"/>
      </w:pPr>
      <w:r>
        <w:rPr>
          <w:rFonts w:ascii="Times New Roman" w:hAnsi="Times New Roman"/>
          <w:b/>
          <w:i w:val="0"/>
          <w:color w:val="1F3864"/>
          <w:sz w:val="19"/>
        </w:rPr>
        <w:t>Table I. Comprehensive Technology Stack and Framework Specifications.</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60"/>
            <w:shd w:fill="1F3864"/>
            <w:vAlign w:val="center"/>
          </w:tcPr>
          <w:p>
            <w:pPr>
              <w:spacing w:before="60" w:after="60"/>
              <w:jc w:val="center"/>
            </w:pPr>
            <w:r>
              <w:rPr>
                <w:rFonts w:ascii="Times New Roman" w:hAnsi="Times New Roman"/>
                <w:b/>
                <w:i w:val="0"/>
                <w:color w:val="FFFFFF"/>
                <w:sz w:val="18"/>
              </w:rPr>
              <w:t>Component</w:t>
            </w:r>
          </w:p>
        </w:tc>
        <w:tc>
          <w:tcPr>
            <w:tcW w:type="dxa" w:w="2592"/>
            <w:shd w:fill="1F3864"/>
            <w:vAlign w:val="center"/>
          </w:tcPr>
          <w:p>
            <w:pPr>
              <w:spacing w:before="60" w:after="60"/>
              <w:jc w:val="center"/>
            </w:pPr>
            <w:r>
              <w:rPr>
                <w:rFonts w:ascii="Times New Roman" w:hAnsi="Times New Roman"/>
                <w:b/>
                <w:i w:val="0"/>
                <w:color w:val="FFFFFF"/>
                <w:sz w:val="18"/>
              </w:rPr>
              <w:t>Framework / Technology</w:t>
            </w:r>
          </w:p>
        </w:tc>
        <w:tc>
          <w:tcPr>
            <w:tcW w:type="dxa" w:w="1440"/>
            <w:shd w:fill="1F3864"/>
            <w:vAlign w:val="center"/>
          </w:tcPr>
          <w:p>
            <w:pPr>
              <w:spacing w:before="60" w:after="60"/>
              <w:jc w:val="center"/>
            </w:pPr>
            <w:r>
              <w:rPr>
                <w:rFonts w:ascii="Times New Roman" w:hAnsi="Times New Roman"/>
                <w:b/>
                <w:i w:val="0"/>
                <w:color w:val="FFFFFF"/>
                <w:sz w:val="18"/>
              </w:rPr>
              <w:t>Version</w:t>
            </w:r>
          </w:p>
        </w:tc>
        <w:tc>
          <w:tcPr>
            <w:tcW w:type="dxa" w:w="3600"/>
            <w:shd w:fill="1F3864"/>
            <w:vAlign w:val="center"/>
          </w:tcPr>
          <w:p>
            <w:pPr>
              <w:spacing w:before="60" w:after="60"/>
              <w:jc w:val="center"/>
            </w:pPr>
            <w:r>
              <w:rPr>
                <w:rFonts w:ascii="Times New Roman" w:hAnsi="Times New Roman"/>
                <w:b/>
                <w:i w:val="0"/>
                <w:color w:val="FFFFFF"/>
                <w:sz w:val="18"/>
              </w:rPr>
              <w:t>Operational Function</w:t>
            </w:r>
          </w:p>
        </w:tc>
      </w:tr>
      <w:tr>
        <w:tc>
          <w:tcPr>
            <w:tcW w:type="dxa" w:w="216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Core Language</w:t>
            </w:r>
          </w:p>
        </w:tc>
        <w:tc>
          <w:tcPr>
            <w:tcW w:type="dxa" w:w="259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Python</w:t>
            </w:r>
          </w:p>
        </w:tc>
        <w:tc>
          <w:tcPr>
            <w:tcW w:type="dxa" w:w="144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3.13.7</w:t>
            </w:r>
          </w:p>
        </w:tc>
        <w:tc>
          <w:tcPr>
            <w:tcW w:type="dxa" w:w="3600"/>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System orchestration, multithreading, and logic execution</w:t>
            </w:r>
          </w:p>
        </w:tc>
      </w:tr>
      <w:tr>
        <w:tc>
          <w:tcPr>
            <w:tcW w:type="dxa" w:w="2160"/>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Computer Vision</w:t>
            </w:r>
          </w:p>
        </w:tc>
        <w:tc>
          <w:tcPr>
            <w:tcW w:type="dxa" w:w="259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OpenCV (cv2)</w:t>
            </w:r>
          </w:p>
        </w:tc>
        <w:tc>
          <w:tcPr>
            <w:tcW w:type="dxa" w:w="1440"/>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5.0.0</w:t>
            </w:r>
          </w:p>
        </w:tc>
        <w:tc>
          <w:tcPr>
            <w:tcW w:type="dxa" w:w="3600"/>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Frame ingestion, color transformations, CLAHE, HUD rendering</w:t>
            </w:r>
          </w:p>
        </w:tc>
      </w:tr>
      <w:tr>
        <w:tc>
          <w:tcPr>
            <w:tcW w:type="dxa" w:w="216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Object Detection</w:t>
            </w:r>
          </w:p>
        </w:tc>
        <w:tc>
          <w:tcPr>
            <w:tcW w:type="dxa" w:w="259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YOLOv8s (Ultralytics)</w:t>
            </w:r>
          </w:p>
        </w:tc>
        <w:tc>
          <w:tcPr>
            <w:tcW w:type="dxa" w:w="144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8.4.158</w:t>
            </w:r>
          </w:p>
        </w:tc>
        <w:tc>
          <w:tcPr>
            <w:tcW w:type="dxa" w:w="3600"/>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Primary motorcycle and pedestrian detection</w:t>
            </w:r>
          </w:p>
        </w:tc>
      </w:tr>
      <w:tr>
        <w:tc>
          <w:tcPr>
            <w:tcW w:type="dxa" w:w="2160"/>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Multi-Object Tracking</w:t>
            </w:r>
          </w:p>
        </w:tc>
        <w:tc>
          <w:tcPr>
            <w:tcW w:type="dxa" w:w="259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ByteTrack</w:t>
            </w:r>
          </w:p>
        </w:tc>
        <w:tc>
          <w:tcPr>
            <w:tcW w:type="dxa" w:w="1440"/>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Built-in</w:t>
            </w:r>
          </w:p>
        </w:tc>
        <w:tc>
          <w:tcPr>
            <w:tcW w:type="dxa" w:w="3600"/>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Persistent Kalman-filter trajectory tracking across frames</w:t>
            </w:r>
          </w:p>
        </w:tc>
      </w:tr>
      <w:tr>
        <w:tc>
          <w:tcPr>
            <w:tcW w:type="dxa" w:w="216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Domain Classifier</w:t>
            </w:r>
          </w:p>
        </w:tc>
        <w:tc>
          <w:tcPr>
            <w:tcW w:type="dxa" w:w="259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Custom YOLOv8 (`helmet.pt`)</w:t>
            </w:r>
          </w:p>
        </w:tc>
        <w:tc>
          <w:tcPr>
            <w:tcW w:type="dxa" w:w="144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Custom</w:t>
            </w:r>
          </w:p>
        </w:tc>
        <w:tc>
          <w:tcPr>
            <w:tcW w:type="dxa" w:w="3600"/>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4-class inference: helmets, unhelmeted heads, plates</w:t>
            </w:r>
          </w:p>
        </w:tc>
      </w:tr>
      <w:tr>
        <w:tc>
          <w:tcPr>
            <w:tcW w:type="dxa" w:w="2160"/>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OCR Engine</w:t>
            </w:r>
          </w:p>
        </w:tc>
        <w:tc>
          <w:tcPr>
            <w:tcW w:type="dxa" w:w="259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EasyOCR</w:t>
            </w:r>
          </w:p>
        </w:tc>
        <w:tc>
          <w:tcPr>
            <w:tcW w:type="dxa" w:w="1440"/>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1.7.2</w:t>
            </w:r>
          </w:p>
        </w:tc>
        <w:tc>
          <w:tcPr>
            <w:tcW w:type="dxa" w:w="3600"/>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CRAFT text detection + CRNN sequence recognition</w:t>
            </w:r>
          </w:p>
        </w:tc>
      </w:tr>
      <w:tr>
        <w:tc>
          <w:tcPr>
            <w:tcW w:type="dxa" w:w="216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Deep Learning Backend</w:t>
            </w:r>
          </w:p>
        </w:tc>
        <w:tc>
          <w:tcPr>
            <w:tcW w:type="dxa" w:w="259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PyTorch</w:t>
            </w:r>
          </w:p>
        </w:tc>
        <w:tc>
          <w:tcPr>
            <w:tcW w:type="dxa" w:w="144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2.14.0+cpu</w:t>
            </w:r>
          </w:p>
        </w:tc>
        <w:tc>
          <w:tcPr>
            <w:tcW w:type="dxa" w:w="3600"/>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Tensor computation and model inference runtime</w:t>
            </w:r>
          </w:p>
        </w:tc>
      </w:tr>
      <w:tr>
        <w:tc>
          <w:tcPr>
            <w:tcW w:type="dxa" w:w="2160"/>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Relational Storage</w:t>
            </w:r>
          </w:p>
        </w:tc>
        <w:tc>
          <w:tcPr>
            <w:tcW w:type="dxa" w:w="259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MySQL Server</w:t>
            </w:r>
          </w:p>
        </w:tc>
        <w:tc>
          <w:tcPr>
            <w:tcW w:type="dxa" w:w="1440"/>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8.0+</w:t>
            </w:r>
          </w:p>
        </w:tc>
        <w:tc>
          <w:tcPr>
            <w:tcW w:type="dxa" w:w="3600"/>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Structured transactional violation logging</w:t>
            </w:r>
          </w:p>
        </w:tc>
      </w:tr>
      <w:tr>
        <w:tc>
          <w:tcPr>
            <w:tcW w:type="dxa" w:w="216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Database Connector</w:t>
            </w:r>
          </w:p>
        </w:tc>
        <w:tc>
          <w:tcPr>
            <w:tcW w:type="dxa" w:w="259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mysql-connector-python</w:t>
            </w:r>
          </w:p>
        </w:tc>
        <w:tc>
          <w:tcPr>
            <w:tcW w:type="dxa" w:w="144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26.7.0</w:t>
            </w:r>
          </w:p>
        </w:tc>
        <w:tc>
          <w:tcPr>
            <w:tcW w:type="dxa" w:w="3600"/>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Python-to-MySQL native database driver</w:t>
            </w:r>
          </w:p>
        </w:tc>
      </w:tr>
      <w:tr>
        <w:tc>
          <w:tcPr>
            <w:tcW w:type="dxa" w:w="2160"/>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GUI Subsystem</w:t>
            </w:r>
          </w:p>
        </w:tc>
        <w:tc>
          <w:tcPr>
            <w:tcW w:type="dxa" w:w="259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Tkinter</w:t>
            </w:r>
          </w:p>
        </w:tc>
        <w:tc>
          <w:tcPr>
            <w:tcW w:type="dxa" w:w="1440"/>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Standard</w:t>
            </w:r>
          </w:p>
        </w:tc>
        <w:tc>
          <w:tcPr>
            <w:tcW w:type="dxa" w:w="3600"/>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Non-blocking native OS video file selection dialog</w:t>
            </w:r>
          </w:p>
        </w:tc>
      </w:tr>
    </w:tbl>
    <w:p>
      <w:pPr>
        <w:spacing w:after="80"/>
      </w:pPr>
    </w:p>
    <w:p>
      <w:pPr>
        <w:keepNext/>
        <w:spacing w:before="280" w:after="80"/>
      </w:pPr>
      <w:r>
        <w:rPr>
          <w:rFonts w:ascii="Times New Roman" w:hAnsi="Times New Roman"/>
          <w:b/>
          <w:i w:val="0"/>
          <w:color w:val="1F3864"/>
          <w:sz w:val="24"/>
        </w:rPr>
        <w:t>IV. DATASET DESIGN, ANNOTATION AND PREPROCESSING</w:t>
      </w:r>
    </w:p>
    <w:p>
      <w:pPr>
        <w:keepNext/>
        <w:spacing w:before="200" w:after="60"/>
      </w:pPr>
      <w:r>
        <w:rPr>
          <w:rFonts w:ascii="Times New Roman" w:hAnsi="Times New Roman"/>
          <w:b/>
          <w:i/>
          <w:color w:val="2E5B82"/>
          <w:sz w:val="21"/>
        </w:rPr>
        <w:t>A. Multi-Tiered Dataset Strategy</w:t>
      </w:r>
    </w:p>
    <w:p>
      <w:pPr>
        <w:spacing w:before="0" w:after="80" w:line="276" w:lineRule="auto"/>
        <w:jc w:val="both"/>
      </w:pPr>
      <w:r>
        <w:rPr>
          <w:rFonts w:ascii="Times New Roman" w:hAnsi="Times New Roman"/>
          <w:b w:val="0"/>
          <w:i w:val="0"/>
          <w:color w:val="262626"/>
          <w:sz w:val="20"/>
        </w:rPr>
        <w:t>To achieve high generalization without incurring astronomical annotation costs, the system leverages a hybrid two-tier data architecture. General vehicular and pedestrian localization relies on transfer learning from large-scale public surveillance corpora, while domain-specific tasks (helmet compliance and license plate localization) utilize custom-curated, highly annotated traffic imagery.</w:t>
      </w:r>
    </w:p>
    <w:p>
      <w:pPr>
        <w:keepNext/>
        <w:spacing w:before="160" w:after="60"/>
        <w:jc w:val="center"/>
      </w:pPr>
      <w:r>
        <w:rPr>
          <w:rFonts w:ascii="Times New Roman" w:hAnsi="Times New Roman"/>
          <w:b/>
          <w:i w:val="0"/>
          <w:color w:val="1F3864"/>
          <w:sz w:val="19"/>
        </w:rPr>
        <w:t>Table II. Empirical Dataset Breakdown and Data Sources.</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2304"/>
            <w:shd w:fill="1F3864"/>
            <w:vAlign w:val="center"/>
          </w:tcPr>
          <w:p>
            <w:pPr>
              <w:spacing w:before="60" w:after="60"/>
              <w:jc w:val="center"/>
            </w:pPr>
            <w:r>
              <w:rPr>
                <w:rFonts w:ascii="Times New Roman" w:hAnsi="Times New Roman"/>
                <w:b/>
                <w:i w:val="0"/>
                <w:color w:val="FFFFFF"/>
                <w:sz w:val="18"/>
              </w:rPr>
              <w:t>Dataset Name</w:t>
            </w:r>
          </w:p>
        </w:tc>
        <w:tc>
          <w:tcPr>
            <w:tcW w:type="dxa" w:w="2592"/>
            <w:shd w:fill="1F3864"/>
            <w:vAlign w:val="center"/>
          </w:tcPr>
          <w:p>
            <w:pPr>
              <w:spacing w:before="60" w:after="60"/>
              <w:jc w:val="center"/>
            </w:pPr>
            <w:r>
              <w:rPr>
                <w:rFonts w:ascii="Times New Roman" w:hAnsi="Times New Roman"/>
                <w:b/>
                <w:i w:val="0"/>
                <w:color w:val="FFFFFF"/>
                <w:sz w:val="18"/>
              </w:rPr>
              <w:t>Operational Purpose</w:t>
            </w:r>
          </w:p>
        </w:tc>
        <w:tc>
          <w:tcPr>
            <w:tcW w:type="dxa" w:w="2016"/>
            <w:shd w:fill="1F3864"/>
            <w:vAlign w:val="center"/>
          </w:tcPr>
          <w:p>
            <w:pPr>
              <w:spacing w:before="60" w:after="60"/>
              <w:jc w:val="center"/>
            </w:pPr>
            <w:r>
              <w:rPr>
                <w:rFonts w:ascii="Times New Roman" w:hAnsi="Times New Roman"/>
                <w:b/>
                <w:i w:val="0"/>
                <w:color w:val="FFFFFF"/>
                <w:sz w:val="18"/>
              </w:rPr>
              <w:t>Sample Volume</w:t>
            </w:r>
          </w:p>
        </w:tc>
        <w:tc>
          <w:tcPr>
            <w:tcW w:type="dxa" w:w="1728"/>
            <w:shd w:fill="1F3864"/>
            <w:vAlign w:val="center"/>
          </w:tcPr>
          <w:p>
            <w:pPr>
              <w:spacing w:before="60" w:after="60"/>
              <w:jc w:val="center"/>
            </w:pPr>
            <w:r>
              <w:rPr>
                <w:rFonts w:ascii="Times New Roman" w:hAnsi="Times New Roman"/>
                <w:b/>
                <w:i w:val="0"/>
                <w:color w:val="FFFFFF"/>
                <w:sz w:val="18"/>
              </w:rPr>
              <w:t>Target Classes</w:t>
            </w:r>
          </w:p>
        </w:tc>
        <w:tc>
          <w:tcPr>
            <w:tcW w:type="dxa" w:w="2592"/>
            <w:shd w:fill="1F3864"/>
            <w:vAlign w:val="center"/>
          </w:tcPr>
          <w:p>
            <w:pPr>
              <w:spacing w:before="60" w:after="60"/>
              <w:jc w:val="center"/>
            </w:pPr>
            <w:r>
              <w:rPr>
                <w:rFonts w:ascii="Times New Roman" w:hAnsi="Times New Roman"/>
                <w:b/>
                <w:i w:val="0"/>
                <w:color w:val="FFFFFF"/>
                <w:sz w:val="18"/>
              </w:rPr>
              <w:t>Source / Provenance</w:t>
            </w:r>
          </w:p>
        </w:tc>
      </w:tr>
      <w:tr>
        <w:tc>
          <w:tcPr>
            <w:tcW w:type="dxa" w:w="2304"/>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Motorcycle &amp; Person Detection</w:t>
            </w:r>
          </w:p>
        </w:tc>
        <w:tc>
          <w:tcPr>
            <w:tcW w:type="dxa" w:w="259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Base detector training &amp; ByteTrack tracking</w:t>
            </w:r>
          </w:p>
        </w:tc>
        <w:tc>
          <w:tcPr>
            <w:tcW w:type="dxa" w:w="2016"/>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MS COCO Base (~118,000 images)</w:t>
            </w:r>
          </w:p>
        </w:tc>
        <w:tc>
          <w:tcPr>
            <w:tcW w:type="dxa" w:w="1728"/>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motorcycle (ID: 3), person (ID: 0)</w:t>
            </w:r>
          </w:p>
        </w:tc>
        <w:tc>
          <w:tcPr>
            <w:tcW w:type="dxa" w:w="259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Ultralytics YOLOv8s pre-trained weights</w:t>
            </w:r>
          </w:p>
        </w:tc>
      </w:tr>
      <w:tr>
        <w:tc>
          <w:tcPr>
            <w:tcW w:type="dxa" w:w="2304"/>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Helmet &amp; Plate Dataset (`helmet.pt`)</w:t>
            </w:r>
          </w:p>
        </w:tc>
        <w:tc>
          <w:tcPr>
            <w:tcW w:type="dxa" w:w="259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Fine-grained helmet audit &amp; plate localization</w:t>
            </w:r>
          </w:p>
        </w:tc>
        <w:tc>
          <w:tcPr>
            <w:tcW w:type="dxa" w:w="2016"/>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553 annotated images (509 train, 22 val, 22 test)</w:t>
            </w:r>
          </w:p>
        </w:tc>
        <w:tc>
          <w:tcPr>
            <w:tcW w:type="dxa" w:w="1728"/>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licensePlate, motorcycle, withHelmet, withoutHelmet</w:t>
            </w:r>
          </w:p>
        </w:tc>
        <w:tc>
          <w:tcPr>
            <w:tcW w:type="dxa" w:w="259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Roboflow custom annotated dataset (`Helmet-Detection-Using-yolo-v8-1`)</w:t>
            </w:r>
          </w:p>
        </w:tc>
      </w:tr>
      <w:tr>
        <w:tc>
          <w:tcPr>
            <w:tcW w:type="dxa" w:w="2304"/>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Number-Plate Recognition Dataset</w:t>
            </w:r>
          </w:p>
        </w:tc>
        <w:tc>
          <w:tcPr>
            <w:tcW w:type="dxa" w:w="259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Character recognition evaluation</w:t>
            </w:r>
          </w:p>
        </w:tc>
        <w:tc>
          <w:tcPr>
            <w:tcW w:type="dxa" w:w="2016"/>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Dynamic runtime crops from confirmed violations</w:t>
            </w:r>
          </w:p>
        </w:tc>
        <w:tc>
          <w:tcPr>
            <w:tcW w:type="dxa" w:w="1728"/>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Alphanumeric string (A–Z, 0–9)</w:t>
            </w:r>
          </w:p>
        </w:tc>
        <w:tc>
          <w:tcPr>
            <w:tcW w:type="dxa" w:w="259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Pre-trained CRAFT + CRNN EasyOCR model</w:t>
            </w:r>
          </w:p>
        </w:tc>
      </w:tr>
      <w:tr>
        <w:tc>
          <w:tcPr>
            <w:tcW w:type="dxa" w:w="2304"/>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Low-Light CCTV Benchmark Set</w:t>
            </w:r>
          </w:p>
        </w:tc>
        <w:tc>
          <w:tcPr>
            <w:tcW w:type="dxa" w:w="259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Threshold calibration &amp; CLAHE/Gamma evaluation</w:t>
            </w:r>
          </w:p>
        </w:tc>
        <w:tc>
          <w:tcPr>
            <w:tcW w:type="dxa" w:w="2016"/>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~300–600 frames dusk/night video</w:t>
            </w:r>
          </w:p>
        </w:tc>
        <w:tc>
          <w:tcPr>
            <w:tcW w:type="dxa" w:w="1728"/>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low-light, normal-light (binary flag)</w:t>
            </w:r>
          </w:p>
        </w:tc>
        <w:tc>
          <w:tcPr>
            <w:tcW w:type="dxa" w:w="259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Self-collected urban roadway surveillance clips</w:t>
            </w:r>
          </w:p>
        </w:tc>
      </w:tr>
    </w:tbl>
    <w:p>
      <w:pPr>
        <w:spacing w:after="80"/>
      </w:pPr>
    </w:p>
    <w:p>
      <w:pPr>
        <w:keepNext/>
        <w:spacing w:before="200" w:after="60"/>
      </w:pPr>
      <w:r>
        <w:rPr>
          <w:rFonts w:ascii="Times New Roman" w:hAnsi="Times New Roman"/>
          <w:b/>
          <w:i/>
          <w:color w:val="2E5B82"/>
          <w:sz w:val="21"/>
        </w:rPr>
        <w:t>B. Annotation Taxonomy and Class Schema</w:t>
      </w:r>
    </w:p>
    <w:p>
      <w:pPr>
        <w:spacing w:before="0" w:after="80" w:line="276" w:lineRule="auto"/>
        <w:jc w:val="both"/>
      </w:pPr>
      <w:r>
        <w:rPr>
          <w:rFonts w:ascii="Times New Roman" w:hAnsi="Times New Roman"/>
          <w:b w:val="0"/>
          <w:i w:val="0"/>
          <w:color w:val="262626"/>
          <w:sz w:val="20"/>
        </w:rPr>
        <w:t>The domain-specific model (`helmet.pt`) was annotated using Roboflow in standard normalized YOLO format (class_idx, x_center, y_center, width, height). Crucially, inspection of the trained network weights confirmed a 4-class multi-task taxonomy:</w:t>
      </w:r>
    </w:p>
    <w:p>
      <w:pPr>
        <w:pStyle w:val="ListBullet"/>
        <w:spacing w:before="20" w:after="60" w:line="276" w:lineRule="auto"/>
        <w:jc w:val="both"/>
      </w:pPr>
      <w:r>
        <w:rPr>
          <w:rFonts w:ascii="Times New Roman" w:hAnsi="Times New Roman"/>
          <w:b/>
          <w:i w:val="0"/>
          <w:color w:val="262626"/>
          <w:sz w:val="20"/>
        </w:rPr>
        <w:t xml:space="preserve">Class 0: </w:t>
      </w:r>
      <w:r>
        <w:rPr>
          <w:rFonts w:ascii="Times New Roman" w:hAnsi="Times New Roman"/>
          <w:b w:val="0"/>
          <w:i w:val="0"/>
          <w:color w:val="262626"/>
          <w:sz w:val="20"/>
        </w:rPr>
        <w:t>Class 0 — `licensePlate`: Rectangular bounding box tightly encapsulating two-wheeler registration plates.</w:t>
      </w:r>
    </w:p>
    <w:p>
      <w:pPr>
        <w:pStyle w:val="ListBullet"/>
        <w:spacing w:before="20" w:after="60" w:line="276" w:lineRule="auto"/>
        <w:jc w:val="both"/>
      </w:pPr>
      <w:r>
        <w:rPr>
          <w:rFonts w:ascii="Times New Roman" w:hAnsi="Times New Roman"/>
          <w:b/>
          <w:i w:val="0"/>
          <w:color w:val="262626"/>
          <w:sz w:val="20"/>
        </w:rPr>
        <w:t xml:space="preserve">Class 1: </w:t>
      </w:r>
      <w:r>
        <w:rPr>
          <w:rFonts w:ascii="Times New Roman" w:hAnsi="Times New Roman"/>
          <w:b w:val="0"/>
          <w:i w:val="0"/>
          <w:color w:val="262626"/>
          <w:sz w:val="20"/>
        </w:rPr>
        <w:t>Class 1 — `motorcycle`: Contextual bounding box enclosing the overall vehicle chassis.</w:t>
      </w:r>
    </w:p>
    <w:p>
      <w:pPr>
        <w:pStyle w:val="ListBullet"/>
        <w:spacing w:before="20" w:after="60" w:line="276" w:lineRule="auto"/>
        <w:jc w:val="both"/>
      </w:pPr>
      <w:r>
        <w:rPr>
          <w:rFonts w:ascii="Times New Roman" w:hAnsi="Times New Roman"/>
          <w:b/>
          <w:i w:val="0"/>
          <w:color w:val="262626"/>
          <w:sz w:val="20"/>
        </w:rPr>
        <w:t xml:space="preserve">Class 2: </w:t>
      </w:r>
      <w:r>
        <w:rPr>
          <w:rFonts w:ascii="Times New Roman" w:hAnsi="Times New Roman"/>
          <w:b w:val="0"/>
          <w:i w:val="0"/>
          <w:color w:val="262626"/>
          <w:sz w:val="20"/>
        </w:rPr>
        <w:t>Class 2 — `withHelmet`: Bounding box enclosing the head of a rider equipped with a certified helmet.</w:t>
      </w:r>
    </w:p>
    <w:p>
      <w:pPr>
        <w:pStyle w:val="ListBullet"/>
        <w:spacing w:before="20" w:after="60" w:line="276" w:lineRule="auto"/>
        <w:jc w:val="both"/>
      </w:pPr>
      <w:r>
        <w:rPr>
          <w:rFonts w:ascii="Times New Roman" w:hAnsi="Times New Roman"/>
          <w:b/>
          <w:i w:val="0"/>
          <w:color w:val="262626"/>
          <w:sz w:val="20"/>
        </w:rPr>
        <w:t xml:space="preserve">Class 3: </w:t>
      </w:r>
      <w:r>
        <w:rPr>
          <w:rFonts w:ascii="Times New Roman" w:hAnsi="Times New Roman"/>
          <w:b w:val="0"/>
          <w:i w:val="0"/>
          <w:color w:val="262626"/>
          <w:sz w:val="20"/>
        </w:rPr>
        <w:t>Class 3 — `withoutHelmet`: Bounding box enclosing the head/face of an exposed, unprotected rider.</w:t>
      </w:r>
    </w:p>
    <w:p>
      <w:pPr>
        <w:keepNext/>
        <w:spacing w:before="200" w:after="60"/>
      </w:pPr>
      <w:r>
        <w:rPr>
          <w:rFonts w:ascii="Times New Roman" w:hAnsi="Times New Roman"/>
          <w:b/>
          <w:i/>
          <w:color w:val="2E5B82"/>
          <w:sz w:val="21"/>
        </w:rPr>
        <w:t>C. Data Preprocessing and Augmentation Pipeline</w:t>
      </w:r>
    </w:p>
    <w:p>
      <w:pPr>
        <w:spacing w:before="0" w:after="80" w:line="276" w:lineRule="auto"/>
        <w:jc w:val="both"/>
      </w:pPr>
      <w:r>
        <w:rPr>
          <w:rFonts w:ascii="Times New Roman" w:hAnsi="Times New Roman"/>
          <w:b w:val="0"/>
          <w:i w:val="0"/>
          <w:color w:val="262626"/>
          <w:sz w:val="20"/>
        </w:rPr>
        <w:t>To ensure resilience against lens distortion, sensor noise, and perspective warping, incoming training samples underwent rigorous pre-processing and synthetic augmentation:</w:t>
      </w:r>
    </w:p>
    <w:p>
      <w:pPr>
        <w:pStyle w:val="ListBullet"/>
        <w:spacing w:before="20" w:after="60" w:line="276" w:lineRule="auto"/>
        <w:jc w:val="both"/>
      </w:pPr>
      <w:r>
        <w:rPr>
          <w:rFonts w:ascii="Times New Roman" w:hAnsi="Times New Roman"/>
          <w:b/>
          <w:i w:val="0"/>
          <w:color w:val="262626"/>
          <w:sz w:val="20"/>
        </w:rPr>
        <w:t xml:space="preserve">Resolution Normalization: </w:t>
      </w:r>
      <w:r>
        <w:rPr>
          <w:rFonts w:ascii="Times New Roman" w:hAnsi="Times New Roman"/>
          <w:b w:val="0"/>
          <w:i w:val="0"/>
          <w:color w:val="262626"/>
          <w:sz w:val="20"/>
        </w:rPr>
        <w:t>Auto-orientation of sensor EXIF metadata followed by static aspect-ratio letterboxing to 640×640 pixels.</w:t>
      </w:r>
    </w:p>
    <w:p>
      <w:pPr>
        <w:pStyle w:val="ListBullet"/>
        <w:spacing w:before="20" w:after="60" w:line="276" w:lineRule="auto"/>
        <w:jc w:val="both"/>
      </w:pPr>
      <w:r>
        <w:rPr>
          <w:rFonts w:ascii="Times New Roman" w:hAnsi="Times New Roman"/>
          <w:b/>
          <w:i w:val="0"/>
          <w:color w:val="262626"/>
          <w:sz w:val="20"/>
        </w:rPr>
        <w:t xml:space="preserve">Spatial Flipping: </w:t>
      </w:r>
      <w:r>
        <w:rPr>
          <w:rFonts w:ascii="Times New Roman" w:hAnsi="Times New Roman"/>
          <w:b w:val="0"/>
          <w:i w:val="0"/>
          <w:color w:val="262626"/>
          <w:sz w:val="20"/>
        </w:rPr>
        <w:t>Random horizontal reflection (p = 0.5) to mirror left-hand and right-hand driving perspectives.</w:t>
      </w:r>
    </w:p>
    <w:p>
      <w:pPr>
        <w:pStyle w:val="ListBullet"/>
        <w:spacing w:before="20" w:after="60" w:line="276" w:lineRule="auto"/>
        <w:jc w:val="both"/>
      </w:pPr>
      <w:r>
        <w:rPr>
          <w:rFonts w:ascii="Times New Roman" w:hAnsi="Times New Roman"/>
          <w:b/>
          <w:i w:val="0"/>
          <w:color w:val="262626"/>
          <w:sz w:val="20"/>
        </w:rPr>
        <w:t xml:space="preserve">Photometric Jitter: </w:t>
      </w:r>
      <w:r>
        <w:rPr>
          <w:rFonts w:ascii="Times New Roman" w:hAnsi="Times New Roman"/>
          <w:b w:val="0"/>
          <w:i w:val="0"/>
          <w:color w:val="262626"/>
          <w:sz w:val="20"/>
        </w:rPr>
        <w:t>Random photometric brightness adjustments (±15%) and Gaussian blurring (kernel 0–2.5px) to simulate optical defocus.</w:t>
      </w:r>
    </w:p>
    <w:p>
      <w:pPr>
        <w:keepNext/>
        <w:spacing w:before="200" w:after="60"/>
      </w:pPr>
      <w:r>
        <w:rPr>
          <w:rFonts w:ascii="Times New Roman" w:hAnsi="Times New Roman"/>
          <w:b/>
          <w:i/>
          <w:color w:val="2E5B82"/>
          <w:sz w:val="21"/>
        </w:rPr>
        <w:t>D. Data Partitioning</w:t>
      </w:r>
    </w:p>
    <w:p>
      <w:pPr>
        <w:spacing w:before="0" w:after="80" w:line="276" w:lineRule="auto"/>
        <w:jc w:val="both"/>
      </w:pPr>
      <w:r>
        <w:rPr>
          <w:rFonts w:ascii="Times New Roman" w:hAnsi="Times New Roman"/>
          <w:b w:val="0"/>
          <w:i w:val="0"/>
          <w:color w:val="262626"/>
          <w:sz w:val="20"/>
        </w:rPr>
        <w:t>The 553 annotated domain images are partitioned following the rigorous benchmark distribution established during Roboflow exportation, guaranteeing complete separation between training and evaluation splits:</w:t>
      </w:r>
    </w:p>
    <w:p>
      <w:pPr>
        <w:keepNext/>
        <w:spacing w:before="160" w:after="60"/>
        <w:jc w:val="center"/>
      </w:pPr>
      <w:r>
        <w:rPr>
          <w:rFonts w:ascii="Times New Roman" w:hAnsi="Times New Roman"/>
          <w:b/>
          <w:i w:val="0"/>
          <w:color w:val="1F3864"/>
          <w:sz w:val="19"/>
        </w:rPr>
        <w:t>Table III. Data Partitioning Ratios Across System Submodules.</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3168"/>
            <w:shd w:fill="1F3864"/>
            <w:vAlign w:val="center"/>
          </w:tcPr>
          <w:p>
            <w:pPr>
              <w:spacing w:before="60" w:after="60"/>
              <w:jc w:val="center"/>
            </w:pPr>
            <w:r>
              <w:rPr>
                <w:rFonts w:ascii="Times New Roman" w:hAnsi="Times New Roman"/>
                <w:b/>
                <w:i w:val="0"/>
                <w:color w:val="FFFFFF"/>
                <w:sz w:val="18"/>
              </w:rPr>
              <w:t>Dataset Partition</w:t>
            </w:r>
          </w:p>
        </w:tc>
        <w:tc>
          <w:tcPr>
            <w:tcW w:type="dxa" w:w="2016"/>
            <w:shd w:fill="1F3864"/>
            <w:vAlign w:val="center"/>
          </w:tcPr>
          <w:p>
            <w:pPr>
              <w:spacing w:before="60" w:after="60"/>
              <w:jc w:val="center"/>
            </w:pPr>
            <w:r>
              <w:rPr>
                <w:rFonts w:ascii="Times New Roman" w:hAnsi="Times New Roman"/>
                <w:b/>
                <w:i w:val="0"/>
                <w:color w:val="FFFFFF"/>
                <w:sz w:val="18"/>
              </w:rPr>
              <w:t>Training Split</w:t>
            </w:r>
          </w:p>
        </w:tc>
        <w:tc>
          <w:tcPr>
            <w:tcW w:type="dxa" w:w="2016"/>
            <w:shd w:fill="1F3864"/>
            <w:vAlign w:val="center"/>
          </w:tcPr>
          <w:p>
            <w:pPr>
              <w:spacing w:before="60" w:after="60"/>
              <w:jc w:val="center"/>
            </w:pPr>
            <w:r>
              <w:rPr>
                <w:rFonts w:ascii="Times New Roman" w:hAnsi="Times New Roman"/>
                <w:b/>
                <w:i w:val="0"/>
                <w:color w:val="FFFFFF"/>
                <w:sz w:val="18"/>
              </w:rPr>
              <w:t>Validation Split</w:t>
            </w:r>
          </w:p>
        </w:tc>
        <w:tc>
          <w:tcPr>
            <w:tcW w:type="dxa" w:w="2016"/>
            <w:shd w:fill="1F3864"/>
            <w:vAlign w:val="center"/>
          </w:tcPr>
          <w:p>
            <w:pPr>
              <w:spacing w:before="60" w:after="60"/>
              <w:jc w:val="center"/>
            </w:pPr>
            <w:r>
              <w:rPr>
                <w:rFonts w:ascii="Times New Roman" w:hAnsi="Times New Roman"/>
                <w:b/>
                <w:i w:val="0"/>
                <w:color w:val="FFFFFF"/>
                <w:sz w:val="18"/>
              </w:rPr>
              <w:t>Testing Split</w:t>
            </w:r>
          </w:p>
        </w:tc>
        <w:tc>
          <w:tcPr>
            <w:tcW w:type="dxa" w:w="1728"/>
            <w:shd w:fill="1F3864"/>
            <w:vAlign w:val="center"/>
          </w:tcPr>
          <w:p>
            <w:pPr>
              <w:spacing w:before="60" w:after="60"/>
              <w:jc w:val="center"/>
            </w:pPr>
            <w:r>
              <w:rPr>
                <w:rFonts w:ascii="Times New Roman" w:hAnsi="Times New Roman"/>
                <w:b/>
                <w:i w:val="0"/>
                <w:color w:val="FFFFFF"/>
                <w:sz w:val="18"/>
              </w:rPr>
              <w:t>Total Samples</w:t>
            </w:r>
          </w:p>
        </w:tc>
      </w:tr>
      <w:tr>
        <w:tc>
          <w:tcPr>
            <w:tcW w:type="dxa" w:w="3168"/>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Helmet &amp; Plate Dataset (`helmet.pt`)</w:t>
            </w:r>
          </w:p>
        </w:tc>
        <w:tc>
          <w:tcPr>
            <w:tcW w:type="dxa" w:w="2016"/>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509 images (92.0%)</w:t>
            </w:r>
          </w:p>
        </w:tc>
        <w:tc>
          <w:tcPr>
            <w:tcW w:type="dxa" w:w="2016"/>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22 images (4.0%)</w:t>
            </w:r>
          </w:p>
        </w:tc>
        <w:tc>
          <w:tcPr>
            <w:tcW w:type="dxa" w:w="2016"/>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22 images (4.0%)</w:t>
            </w:r>
          </w:p>
        </w:tc>
        <w:tc>
          <w:tcPr>
            <w:tcW w:type="dxa" w:w="1728"/>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553 images (100%)</w:t>
            </w:r>
          </w:p>
        </w:tc>
      </w:tr>
      <w:tr>
        <w:tc>
          <w:tcPr>
            <w:tcW w:type="dxa" w:w="3168"/>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Motorcycle &amp; Pedestrian Detection</w:t>
            </w:r>
          </w:p>
        </w:tc>
        <w:tc>
          <w:tcPr>
            <w:tcW w:type="dxa" w:w="2016"/>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MS COCO Pre-trained</w:t>
            </w:r>
          </w:p>
        </w:tc>
        <w:tc>
          <w:tcPr>
            <w:tcW w:type="dxa" w:w="2016"/>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MS COCO Pre-trained</w:t>
            </w:r>
          </w:p>
        </w:tc>
        <w:tc>
          <w:tcPr>
            <w:tcW w:type="dxa" w:w="2016"/>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Evaluated on video</w:t>
            </w:r>
          </w:p>
        </w:tc>
        <w:tc>
          <w:tcPr>
            <w:tcW w:type="dxa" w:w="1728"/>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118,287 images</w:t>
            </w:r>
          </w:p>
        </w:tc>
      </w:tr>
      <w:tr>
        <w:tc>
          <w:tcPr>
            <w:tcW w:type="dxa" w:w="3168"/>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Low-Light Calibration Footage</w:t>
            </w:r>
          </w:p>
        </w:tc>
        <w:tc>
          <w:tcPr>
            <w:tcW w:type="dxa" w:w="2016"/>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60% (Threshold Tuning)</w:t>
            </w:r>
          </w:p>
        </w:tc>
        <w:tc>
          <w:tcPr>
            <w:tcW w:type="dxa" w:w="2016"/>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20% (Parameter Validation)</w:t>
            </w:r>
          </w:p>
        </w:tc>
        <w:tc>
          <w:tcPr>
            <w:tcW w:type="dxa" w:w="2016"/>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20% (Test Evaluation)</w:t>
            </w:r>
          </w:p>
        </w:tc>
        <w:tc>
          <w:tcPr>
            <w:tcW w:type="dxa" w:w="1728"/>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~300–600 frames</w:t>
            </w:r>
          </w:p>
        </w:tc>
      </w:tr>
    </w:tbl>
    <w:p>
      <w:pPr>
        <w:spacing w:after="80"/>
      </w:pPr>
    </w:p>
    <w:p>
      <w:pPr>
        <w:keepNext/>
        <w:spacing w:before="280" w:after="80"/>
      </w:pPr>
      <w:r>
        <w:rPr>
          <w:rFonts w:ascii="Times New Roman" w:hAnsi="Times New Roman"/>
          <w:b/>
          <w:i w:val="0"/>
          <w:color w:val="1F3864"/>
          <w:sz w:val="24"/>
        </w:rPr>
        <w:t>V. SYSTEM IMPLEMENTATION AND CODE ARCHITECTURE</w:t>
      </w:r>
    </w:p>
    <w:p>
      <w:pPr>
        <w:keepNext/>
        <w:spacing w:before="200" w:after="60"/>
      </w:pPr>
      <w:r>
        <w:rPr>
          <w:rFonts w:ascii="Times New Roman" w:hAnsi="Times New Roman"/>
          <w:b/>
          <w:i/>
          <w:color w:val="2E5B82"/>
          <w:sz w:val="21"/>
        </w:rPr>
        <w:t>A. Development Environment</w:t>
      </w:r>
    </w:p>
    <w:p>
      <w:pPr>
        <w:spacing w:before="0" w:after="80" w:line="276" w:lineRule="auto"/>
        <w:jc w:val="both"/>
      </w:pPr>
      <w:r>
        <w:rPr>
          <w:rFonts w:ascii="Times New Roman" w:hAnsi="Times New Roman"/>
          <w:b w:val="0"/>
          <w:i w:val="0"/>
          <w:color w:val="262626"/>
          <w:sz w:val="20"/>
        </w:rPr>
        <w:t>The system was developed and validated on a Windows 11 workstation running Python 3.13.7. PyTorch 2.14.0+cpu provides the computational backend for YOLOv8 and EasyOCR, while OpenCV 5.0.0 manages video decoding, high-performance matrix math, and HUD rasterization. Table IV outlines the exact development environment specifications.</w:t>
      </w:r>
    </w:p>
    <w:p>
      <w:pPr>
        <w:keepNext/>
        <w:spacing w:before="160" w:after="60"/>
        <w:jc w:val="center"/>
      </w:pPr>
      <w:r>
        <w:rPr>
          <w:rFonts w:ascii="Times New Roman" w:hAnsi="Times New Roman"/>
          <w:b/>
          <w:i w:val="0"/>
          <w:color w:val="1F3864"/>
          <w:sz w:val="19"/>
        </w:rPr>
        <w:t>Table IV. Development and Deployment Environment Specifications.</w:t>
      </w:r>
    </w:p>
    <w:tbl>
      <w:tblPr>
        <w:tblW w:type="auto" w:w="0"/>
        <w:jc w:val="center"/>
        <w:tblLayout w:type="fixed"/>
        <w:tblLook w:firstColumn="1" w:firstRow="1" w:lastColumn="0" w:lastRow="0" w:noHBand="0" w:noVBand="1" w:val="04A0"/>
      </w:tblPr>
      <w:tblGrid>
        <w:gridCol w:w="3213"/>
        <w:gridCol w:w="3213"/>
        <w:gridCol w:w="3213"/>
      </w:tblGrid>
      <w:tr>
        <w:tc>
          <w:tcPr>
            <w:tcW w:type="dxa" w:w="2880"/>
            <w:shd w:fill="1F3864"/>
            <w:vAlign w:val="center"/>
          </w:tcPr>
          <w:p>
            <w:pPr>
              <w:spacing w:before="60" w:after="60"/>
              <w:jc w:val="center"/>
            </w:pPr>
            <w:r>
              <w:rPr>
                <w:rFonts w:ascii="Times New Roman" w:hAnsi="Times New Roman"/>
                <w:b/>
                <w:i w:val="0"/>
                <w:color w:val="FFFFFF"/>
                <w:sz w:val="18"/>
              </w:rPr>
              <w:t>Environment Component</w:t>
            </w:r>
          </w:p>
        </w:tc>
        <w:tc>
          <w:tcPr>
            <w:tcW w:type="dxa" w:w="3600"/>
            <w:shd w:fill="1F3864"/>
            <w:vAlign w:val="center"/>
          </w:tcPr>
          <w:p>
            <w:pPr>
              <w:spacing w:before="60" w:after="60"/>
              <w:jc w:val="center"/>
            </w:pPr>
            <w:r>
              <w:rPr>
                <w:rFonts w:ascii="Times New Roman" w:hAnsi="Times New Roman"/>
                <w:b/>
                <w:i w:val="0"/>
                <w:color w:val="FFFFFF"/>
                <w:sz w:val="18"/>
              </w:rPr>
              <w:t>Configuration Specification</w:t>
            </w:r>
          </w:p>
        </w:tc>
        <w:tc>
          <w:tcPr>
            <w:tcW w:type="dxa" w:w="3600"/>
            <w:shd w:fill="1F3864"/>
            <w:vAlign w:val="center"/>
          </w:tcPr>
          <w:p>
            <w:pPr>
              <w:spacing w:before="60" w:after="60"/>
              <w:jc w:val="center"/>
            </w:pPr>
            <w:r>
              <w:rPr>
                <w:rFonts w:ascii="Times New Roman" w:hAnsi="Times New Roman"/>
                <w:b/>
                <w:i w:val="0"/>
                <w:color w:val="FFFFFF"/>
                <w:sz w:val="18"/>
              </w:rPr>
              <w:t>Operational Notes</w:t>
            </w:r>
          </w:p>
        </w:tc>
      </w:tr>
      <w:tr>
        <w:tc>
          <w:tcPr>
            <w:tcW w:type="dxa" w:w="288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Operating System</w:t>
            </w:r>
          </w:p>
        </w:tc>
        <w:tc>
          <w:tcPr>
            <w:tcW w:type="dxa" w:w="3600"/>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Microsoft Windows 11 Home / Pro (64-bit)</w:t>
            </w:r>
          </w:p>
        </w:tc>
        <w:tc>
          <w:tcPr>
            <w:tcW w:type="dxa" w:w="3600"/>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Native PowerShell 7 execution environment</w:t>
            </w:r>
          </w:p>
        </w:tc>
      </w:tr>
      <w:tr>
        <w:tc>
          <w:tcPr>
            <w:tcW w:type="dxa" w:w="2880"/>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Python Interpreter</w:t>
            </w:r>
          </w:p>
        </w:tc>
        <w:tc>
          <w:tcPr>
            <w:tcW w:type="dxa" w:w="3600"/>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Python 3.13.7 (CPython 64-bit)</w:t>
            </w:r>
          </w:p>
        </w:tc>
        <w:tc>
          <w:tcPr>
            <w:tcW w:type="dxa" w:w="3600"/>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Standard library integration with C extensions</w:t>
            </w:r>
          </w:p>
        </w:tc>
      </w:tr>
      <w:tr>
        <w:tc>
          <w:tcPr>
            <w:tcW w:type="dxa" w:w="288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Deep Learning Runtime</w:t>
            </w:r>
          </w:p>
        </w:tc>
        <w:tc>
          <w:tcPr>
            <w:tcW w:type="dxa" w:w="3600"/>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PyTorch 2.14.0+cpu</w:t>
            </w:r>
          </w:p>
        </w:tc>
        <w:tc>
          <w:tcPr>
            <w:tcW w:type="dxa" w:w="3600"/>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Optimized CPU vector math (supports CUDA fallback)</w:t>
            </w:r>
          </w:p>
        </w:tc>
      </w:tr>
      <w:tr>
        <w:tc>
          <w:tcPr>
            <w:tcW w:type="dxa" w:w="2880"/>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Vision Library</w:t>
            </w:r>
          </w:p>
        </w:tc>
        <w:tc>
          <w:tcPr>
            <w:tcW w:type="dxa" w:w="3600"/>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OpenCV-Python 5.0.0</w:t>
            </w:r>
          </w:p>
        </w:tc>
        <w:tc>
          <w:tcPr>
            <w:tcW w:type="dxa" w:w="3600"/>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Core image processing, CLAHE, LUT acceleration</w:t>
            </w:r>
          </w:p>
        </w:tc>
      </w:tr>
      <w:tr>
        <w:tc>
          <w:tcPr>
            <w:tcW w:type="dxa" w:w="288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Database Server</w:t>
            </w:r>
          </w:p>
        </w:tc>
        <w:tc>
          <w:tcPr>
            <w:tcW w:type="dxa" w:w="3600"/>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MySQL Server 8.0.x</w:t>
            </w:r>
          </w:p>
        </w:tc>
        <w:tc>
          <w:tcPr>
            <w:tcW w:type="dxa" w:w="3600"/>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InnoDB transactional storage engine on localhost:3306</w:t>
            </w:r>
          </w:p>
        </w:tc>
      </w:tr>
      <w:tr>
        <w:tc>
          <w:tcPr>
            <w:tcW w:type="dxa" w:w="2880"/>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Database Connector</w:t>
            </w:r>
          </w:p>
        </w:tc>
        <w:tc>
          <w:tcPr>
            <w:tcW w:type="dxa" w:w="3600"/>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mysql-connector-python 26.7.0</w:t>
            </w:r>
          </w:p>
        </w:tc>
        <w:tc>
          <w:tcPr>
            <w:tcW w:type="dxa" w:w="3600"/>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Pure-Python database protocol implementation</w:t>
            </w:r>
          </w:p>
        </w:tc>
      </w:tr>
    </w:tbl>
    <w:p>
      <w:pPr>
        <w:spacing w:after="80"/>
      </w:pPr>
    </w:p>
    <w:p>
      <w:pPr>
        <w:keepNext/>
        <w:spacing w:before="200" w:after="60"/>
      </w:pPr>
      <w:r>
        <w:rPr>
          <w:rFonts w:ascii="Times New Roman" w:hAnsi="Times New Roman"/>
          <w:b/>
          <w:i/>
          <w:color w:val="2E5B82"/>
          <w:sz w:val="21"/>
        </w:rPr>
        <w:t>B. Implementation Analysis of Core Modules</w:t>
      </w:r>
    </w:p>
    <w:p>
      <w:pPr>
        <w:spacing w:before="0" w:after="80" w:line="276" w:lineRule="auto"/>
        <w:jc w:val="both"/>
      </w:pPr>
      <w:r>
        <w:rPr>
          <w:rFonts w:ascii="Times New Roman" w:hAnsi="Times New Roman"/>
          <w:b w:val="0"/>
          <w:i w:val="0"/>
          <w:color w:val="262626"/>
          <w:sz w:val="20"/>
        </w:rPr>
        <w:t>The software architecture is decoupled into three primary script components, each executing dedicated functional responsibilities:</w:t>
      </w:r>
    </w:p>
    <w:p>
      <w:pPr>
        <w:spacing w:before="0" w:after="80" w:line="276" w:lineRule="auto"/>
        <w:jc w:val="both"/>
      </w:pPr>
      <w:r>
        <w:rPr>
          <w:rFonts w:ascii="Times New Roman" w:hAnsi="Times New Roman"/>
          <w:b w:val="0"/>
          <w:i w:val="0"/>
          <w:color w:val="262626"/>
          <w:sz w:val="20"/>
        </w:rPr>
        <w:t>1) `database_setup.py`: Responsible for initializing the relational infrastructure. It programmatically creates the `traffic_ai` database and establishes the `violations` table schema illustrated in Table V. Crucially, the schema incorporates fields for tracking IDs, violation classifications, OCR strings, detection confidence, and disk paths to archived photographic evidence.</w:t>
      </w:r>
    </w:p>
    <w:p>
      <w:pPr>
        <w:keepNext/>
        <w:spacing w:before="160" w:after="60"/>
        <w:jc w:val="center"/>
      </w:pPr>
      <w:r>
        <w:rPr>
          <w:rFonts w:ascii="Times New Roman" w:hAnsi="Times New Roman"/>
          <w:b/>
          <w:i w:val="0"/>
          <w:color w:val="1F3864"/>
          <w:sz w:val="19"/>
        </w:rPr>
        <w:t>Table V. MySQL Relational Schema for the `violations` Table.</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160"/>
            <w:shd w:fill="1F3864"/>
            <w:vAlign w:val="center"/>
          </w:tcPr>
          <w:p>
            <w:pPr>
              <w:spacing w:before="60" w:after="60"/>
              <w:jc w:val="center"/>
            </w:pPr>
            <w:r>
              <w:rPr>
                <w:rFonts w:ascii="Times New Roman" w:hAnsi="Times New Roman"/>
                <w:b/>
                <w:i w:val="0"/>
                <w:color w:val="FFFFFF"/>
                <w:sz w:val="18"/>
              </w:rPr>
              <w:t>Field Name</w:t>
            </w:r>
          </w:p>
        </w:tc>
        <w:tc>
          <w:tcPr>
            <w:tcW w:type="dxa" w:w="2016"/>
            <w:shd w:fill="1F3864"/>
            <w:vAlign w:val="center"/>
          </w:tcPr>
          <w:p>
            <w:pPr>
              <w:spacing w:before="60" w:after="60"/>
              <w:jc w:val="center"/>
            </w:pPr>
            <w:r>
              <w:rPr>
                <w:rFonts w:ascii="Times New Roman" w:hAnsi="Times New Roman"/>
                <w:b/>
                <w:i w:val="0"/>
                <w:color w:val="FFFFFF"/>
                <w:sz w:val="18"/>
              </w:rPr>
              <w:t>Data Type</w:t>
            </w:r>
          </w:p>
        </w:tc>
        <w:tc>
          <w:tcPr>
            <w:tcW w:type="dxa" w:w="2592"/>
            <w:shd w:fill="1F3864"/>
            <w:vAlign w:val="center"/>
          </w:tcPr>
          <w:p>
            <w:pPr>
              <w:spacing w:before="60" w:after="60"/>
              <w:jc w:val="center"/>
            </w:pPr>
            <w:r>
              <w:rPr>
                <w:rFonts w:ascii="Times New Roman" w:hAnsi="Times New Roman"/>
                <w:b/>
                <w:i w:val="0"/>
                <w:color w:val="FFFFFF"/>
                <w:sz w:val="18"/>
              </w:rPr>
              <w:t>Constraint</w:t>
            </w:r>
          </w:p>
        </w:tc>
        <w:tc>
          <w:tcPr>
            <w:tcW w:type="dxa" w:w="4032"/>
            <w:shd w:fill="1F3864"/>
            <w:vAlign w:val="center"/>
          </w:tcPr>
          <w:p>
            <w:pPr>
              <w:spacing w:before="60" w:after="60"/>
              <w:jc w:val="center"/>
            </w:pPr>
            <w:r>
              <w:rPr>
                <w:rFonts w:ascii="Times New Roman" w:hAnsi="Times New Roman"/>
                <w:b/>
                <w:i w:val="0"/>
                <w:color w:val="FFFFFF"/>
                <w:sz w:val="18"/>
              </w:rPr>
              <w:t>Functional Description</w:t>
            </w:r>
          </w:p>
        </w:tc>
      </w:tr>
      <w:tr>
        <w:tc>
          <w:tcPr>
            <w:tcW w:type="dxa" w:w="216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`id`</w:t>
            </w:r>
          </w:p>
        </w:tc>
        <w:tc>
          <w:tcPr>
            <w:tcW w:type="dxa" w:w="2016"/>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INT</w:t>
            </w:r>
          </w:p>
        </w:tc>
        <w:tc>
          <w:tcPr>
            <w:tcW w:type="dxa" w:w="2592"/>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PK, AUTO_INCREMENT</w:t>
            </w:r>
          </w:p>
        </w:tc>
        <w:tc>
          <w:tcPr>
            <w:tcW w:type="dxa" w:w="403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Unique primary identifier for the violation event</w:t>
            </w:r>
          </w:p>
        </w:tc>
      </w:tr>
      <w:tr>
        <w:tc>
          <w:tcPr>
            <w:tcW w:type="dxa" w:w="2160"/>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`violation_type`</w:t>
            </w:r>
          </w:p>
        </w:tc>
        <w:tc>
          <w:tcPr>
            <w:tcW w:type="dxa" w:w="2016"/>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VARCHAR(50)</w:t>
            </w:r>
          </w:p>
        </w:tc>
        <w:tc>
          <w:tcPr>
            <w:tcW w:type="dxa" w:w="2592"/>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NOT NULL</w:t>
            </w:r>
          </w:p>
        </w:tc>
        <w:tc>
          <w:tcPr>
            <w:tcW w:type="dxa" w:w="403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Violation label: 'No Helmet', 'Triple Riding', or composite</w:t>
            </w:r>
          </w:p>
        </w:tc>
      </w:tr>
      <w:tr>
        <w:tc>
          <w:tcPr>
            <w:tcW w:type="dxa" w:w="216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`plate_number`</w:t>
            </w:r>
          </w:p>
        </w:tc>
        <w:tc>
          <w:tcPr>
            <w:tcW w:type="dxa" w:w="2016"/>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VARCHAR(20)</w:t>
            </w:r>
          </w:p>
        </w:tc>
        <w:tc>
          <w:tcPr>
            <w:tcW w:type="dxa" w:w="2592"/>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DEFAULT NULL</w:t>
            </w:r>
          </w:p>
        </w:tc>
        <w:tc>
          <w:tcPr>
            <w:tcW w:type="dxa" w:w="403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Alphanumeric vehicle registration plate string from OCR</w:t>
            </w:r>
          </w:p>
        </w:tc>
      </w:tr>
      <w:tr>
        <w:tc>
          <w:tcPr>
            <w:tcW w:type="dxa" w:w="2160"/>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`confidence`</w:t>
            </w:r>
          </w:p>
        </w:tc>
        <w:tc>
          <w:tcPr>
            <w:tcW w:type="dxa" w:w="2016"/>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FLOAT</w:t>
            </w:r>
          </w:p>
        </w:tc>
        <w:tc>
          <w:tcPr>
            <w:tcW w:type="dxa" w:w="2592"/>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DEFAULT 0.0</w:t>
            </w:r>
          </w:p>
        </w:tc>
        <w:tc>
          <w:tcPr>
            <w:tcW w:type="dxa" w:w="403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Combined detection/OCR confidence score (0.00 – 1.00)</w:t>
            </w:r>
          </w:p>
        </w:tc>
      </w:tr>
      <w:tr>
        <w:tc>
          <w:tcPr>
            <w:tcW w:type="dxa" w:w="216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`timestamp`</w:t>
            </w:r>
          </w:p>
        </w:tc>
        <w:tc>
          <w:tcPr>
            <w:tcW w:type="dxa" w:w="2016"/>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DATETIME</w:t>
            </w:r>
          </w:p>
        </w:tc>
        <w:tc>
          <w:tcPr>
            <w:tcW w:type="dxa" w:w="259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DEFAULT CURRENT_TIMESTAMP</w:t>
            </w:r>
          </w:p>
        </w:tc>
        <w:tc>
          <w:tcPr>
            <w:tcW w:type="dxa" w:w="403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Exact temporal timestamp of violation occurrence</w:t>
            </w:r>
          </w:p>
        </w:tc>
      </w:tr>
      <w:tr>
        <w:tc>
          <w:tcPr>
            <w:tcW w:type="dxa" w:w="2160"/>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`location`</w:t>
            </w:r>
          </w:p>
        </w:tc>
        <w:tc>
          <w:tcPr>
            <w:tcW w:type="dxa" w:w="2016"/>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VARCHAR(100)</w:t>
            </w:r>
          </w:p>
        </w:tc>
        <w:tc>
          <w:tcPr>
            <w:tcW w:type="dxa" w:w="259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DEFAULT 'Main Gate Camera 1'</w:t>
            </w:r>
          </w:p>
        </w:tc>
        <w:tc>
          <w:tcPr>
            <w:tcW w:type="dxa" w:w="403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Camera identity or geographic junction descriptor</w:t>
            </w:r>
          </w:p>
        </w:tc>
      </w:tr>
      <w:tr>
        <w:tc>
          <w:tcPr>
            <w:tcW w:type="dxa" w:w="2160"/>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`evidence_image`</w:t>
            </w:r>
          </w:p>
        </w:tc>
        <w:tc>
          <w:tcPr>
            <w:tcW w:type="dxa" w:w="2016"/>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VARCHAR(255)</w:t>
            </w:r>
          </w:p>
        </w:tc>
        <w:tc>
          <w:tcPr>
            <w:tcW w:type="dxa" w:w="2592"/>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DEFAULT NULL</w:t>
            </w:r>
          </w:p>
        </w:tc>
        <w:tc>
          <w:tcPr>
            <w:tcW w:type="dxa" w:w="403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Relative file system path to saved annotated frame JPEG</w:t>
            </w:r>
          </w:p>
        </w:tc>
      </w:tr>
    </w:tbl>
    <w:p>
      <w:pPr>
        <w:spacing w:after="80"/>
      </w:pPr>
    </w:p>
    <w:p>
      <w:pPr>
        <w:spacing w:before="0" w:after="80" w:line="276" w:lineRule="auto"/>
        <w:jc w:val="both"/>
      </w:pPr>
      <w:r>
        <w:rPr>
          <w:rFonts w:ascii="Times New Roman" w:hAnsi="Times New Roman"/>
          <w:b w:val="0"/>
          <w:i w:val="0"/>
          <w:color w:val="262626"/>
          <w:sz w:val="20"/>
        </w:rPr>
        <w:t>2) `night_enhancement.py`: A self-contained, GPU-independent pre-processing module. It encapsulates `is_low_light()`, which evaluates mean luminance against an empirical threshold (T=80); `enhance_frame()`, which executes LAB decomposition, CLAHE contrast enhancement on the L channel, and gamma correction; `apply_gamma()`, which applies an accelerated 256-element power-law Look-Up Table (LUT); and `draw_night_mode_badge()`, which renders a real-time HUD status badge on the display.</w:t>
      </w:r>
    </w:p>
    <w:tbl>
      <w:tblPr>
        <w:tblW w:type="auto" w:w="0"/>
        <w:jc w:val="center"/>
        <w:tblLayout w:type="fixed"/>
        <w:tblLook w:firstColumn="1" w:firstRow="1" w:lastColumn="0" w:lastRow="0" w:noHBand="0" w:noVBand="1" w:val="04A0"/>
      </w:tblPr>
      <w:tblGrid>
        <w:gridCol w:w="9792"/>
      </w:tblGrid>
      <w:tr>
        <w:tc>
          <w:tcPr>
            <w:tcW w:type="dxa" w:w="9638"/>
            <w:shd w:fill="F8F9FA"/>
            <w:tcBorders>
              <w:top w:val="single" w:sz="6" w:space="0" w:color="D9D9D9"/>
              <w:left w:val="single" w:sz="18" w:space="0" w:color="2E5B82"/>
              <w:bottom w:val="single" w:sz="6" w:space="0" w:color="D9D9D9"/>
              <w:right w:val="single" w:sz="6" w:space="0" w:color="D9D9D9"/>
            </w:tcBorders>
          </w:tcPr>
          <w:p>
            <w:pPr>
              <w:spacing w:before="0" w:after="0" w:line="252" w:lineRule="auto"/>
            </w:pPr>
            <w:r>
              <w:rPr>
                <w:rFonts w:ascii="Consolas" w:hAnsi="Consolas"/>
                <w:b w:val="0"/>
                <w:i w:val="0"/>
                <w:color w:val="202020"/>
                <w:sz w:val="17"/>
              </w:rPr>
              <w:t># Algorithm: Contrast-Limited Adaptive Histogram Equalization in LAB Space</w:t>
            </w:r>
          </w:p>
          <w:p>
            <w:pPr>
              <w:spacing w:before="0" w:after="0" w:line="252" w:lineRule="auto"/>
            </w:pPr>
            <w:r>
              <w:rPr>
                <w:rFonts w:ascii="Consolas" w:hAnsi="Consolas"/>
                <w:b w:val="0"/>
                <w:i w:val="0"/>
                <w:color w:val="202020"/>
                <w:sz w:val="17"/>
              </w:rPr>
              <w:t>def enhance_frame(frame: np.ndarray) -&gt; np.ndarray:</w:t>
            </w:r>
          </w:p>
          <w:p>
            <w:pPr>
              <w:spacing w:before="0" w:after="0" w:line="252" w:lineRule="auto"/>
            </w:pPr>
            <w:r>
              <w:rPr>
                <w:rFonts w:ascii="Consolas" w:hAnsi="Consolas"/>
                <w:b w:val="0"/>
                <w:i w:val="0"/>
                <w:color w:val="202020"/>
                <w:sz w:val="17"/>
              </w:rPr>
              <w:t xml:space="preserve">    lab = cv2.cvtColor(frame, cv2.COLOR_BGR2LAB)</w:t>
            </w:r>
          </w:p>
          <w:p>
            <w:pPr>
              <w:spacing w:before="0" w:after="0" w:line="252" w:lineRule="auto"/>
            </w:pPr>
            <w:r>
              <w:rPr>
                <w:rFonts w:ascii="Consolas" w:hAnsi="Consolas"/>
                <w:b w:val="0"/>
                <w:i w:val="0"/>
                <w:color w:val="202020"/>
                <w:sz w:val="17"/>
              </w:rPr>
              <w:t xml:space="preserve">    l_channel, a_channel, b_channel = cv2.split(lab)</w:t>
            </w:r>
          </w:p>
          <w:p>
            <w:pPr>
              <w:spacing w:before="0" w:after="0" w:line="252" w:lineRule="auto"/>
            </w:pPr>
            <w:r>
              <w:rPr>
                <w:rFonts w:ascii="Consolas" w:hAnsi="Consolas"/>
                <w:b w:val="0"/>
                <w:i w:val="0"/>
                <w:color w:val="202020"/>
                <w:sz w:val="17"/>
              </w:rPr>
              <w:t xml:space="preserve">    clahe = cv2.createCLAHE(clipLimit=2.0, tileGridSize=(8, 8))</w:t>
            </w:r>
          </w:p>
          <w:p>
            <w:pPr>
              <w:spacing w:before="0" w:after="0" w:line="252" w:lineRule="auto"/>
            </w:pPr>
            <w:r>
              <w:rPr>
                <w:rFonts w:ascii="Consolas" w:hAnsi="Consolas"/>
                <w:b w:val="0"/>
                <w:i w:val="0"/>
                <w:color w:val="202020"/>
                <w:sz w:val="17"/>
              </w:rPr>
              <w:t xml:space="preserve">    l_enhanced = clahe.apply(l_channel)</w:t>
            </w:r>
          </w:p>
          <w:p>
            <w:pPr>
              <w:spacing w:before="0" w:after="0" w:line="252" w:lineRule="auto"/>
            </w:pPr>
            <w:r>
              <w:rPr>
                <w:rFonts w:ascii="Consolas" w:hAnsi="Consolas"/>
                <w:b w:val="0"/>
                <w:i w:val="0"/>
                <w:color w:val="202020"/>
                <w:sz w:val="17"/>
              </w:rPr>
              <w:t xml:space="preserve">    lab_enhanced = cv2.merge((l_enhanced, a_channel, b_channel))</w:t>
            </w:r>
          </w:p>
          <w:p>
            <w:pPr>
              <w:spacing w:before="0" w:after="0" w:line="252" w:lineRule="auto"/>
            </w:pPr>
            <w:r>
              <w:rPr>
                <w:rFonts w:ascii="Consolas" w:hAnsi="Consolas"/>
                <w:b w:val="0"/>
                <w:i w:val="0"/>
                <w:color w:val="202020"/>
                <w:sz w:val="17"/>
              </w:rPr>
              <w:t xml:space="preserve">    enhanced = cv2.cvtColor(lab_enhanced, cv2.COLOR_LAB2BGR)</w:t>
            </w:r>
          </w:p>
          <w:p>
            <w:pPr>
              <w:spacing w:before="0" w:after="0" w:line="252" w:lineRule="auto"/>
            </w:pPr>
            <w:r>
              <w:rPr>
                <w:rFonts w:ascii="Consolas" w:hAnsi="Consolas"/>
                <w:b w:val="0"/>
                <w:i w:val="0"/>
                <w:color w:val="202020"/>
                <w:sz w:val="17"/>
              </w:rPr>
              <w:t xml:space="preserve">    return apply_gamma(enhanced, gamma=1.4)</w:t>
            </w:r>
          </w:p>
        </w:tc>
      </w:tr>
    </w:tbl>
    <w:p>
      <w:pPr>
        <w:spacing w:before="40" w:after="120"/>
        <w:jc w:val="center"/>
      </w:pPr>
      <w:r>
        <w:rPr>
          <w:rFonts w:ascii="Times New Roman" w:hAnsi="Times New Roman"/>
          <w:b w:val="0"/>
          <w:i/>
          <w:color w:val="595959"/>
          <w:sz w:val="17"/>
        </w:rPr>
        <w:t>Listing 1. Core Illumination Enhancement Algorithm (from night_enhancement.py).</w:t>
      </w:r>
    </w:p>
    <w:p>
      <w:pPr>
        <w:spacing w:before="0" w:after="80" w:line="276" w:lineRule="auto"/>
        <w:jc w:val="both"/>
      </w:pPr>
      <w:r>
        <w:rPr>
          <w:rFonts w:ascii="Times New Roman" w:hAnsi="Times New Roman"/>
          <w:b w:val="0"/>
          <w:i w:val="0"/>
          <w:color w:val="262626"/>
          <w:sz w:val="20"/>
        </w:rPr>
        <w:t>3) `main.py`: The master orchestration pipeline. It initializes hardware devices, loads `yolov8s.pt` and `helmet.pt`, configures EasyOCR, manages the video capture loop, computes smoothed exponential moving average (EMA) FPS, calculates expanded spatial search zones, evaluates bipartite IoP overlap, orchestrates violation rule auditing, triggers evidence serialization, and renders the rich multi-panel HUD.</w:t>
      </w:r>
    </w:p>
    <w:tbl>
      <w:tblPr>
        <w:tblW w:type="auto" w:w="0"/>
        <w:jc w:val="center"/>
        <w:tblLayout w:type="fixed"/>
        <w:tblLook w:firstColumn="1" w:firstRow="1" w:lastColumn="0" w:lastRow="0" w:noHBand="0" w:noVBand="1" w:val="04A0"/>
      </w:tblPr>
      <w:tblGrid>
        <w:gridCol w:w="9792"/>
      </w:tblGrid>
      <w:tr>
        <w:tc>
          <w:tcPr>
            <w:tcW w:type="dxa" w:w="9638"/>
            <w:shd w:fill="F8F9FA"/>
            <w:tcBorders>
              <w:top w:val="single" w:sz="6" w:space="0" w:color="D9D9D9"/>
              <w:left w:val="single" w:sz="18" w:space="0" w:color="2E5B82"/>
              <w:bottom w:val="single" w:sz="6" w:space="0" w:color="D9D9D9"/>
              <w:right w:val="single" w:sz="6" w:space="0" w:color="D9D9D9"/>
            </w:tcBorders>
          </w:tcPr>
          <w:p>
            <w:pPr>
              <w:spacing w:before="0" w:after="0" w:line="252" w:lineRule="auto"/>
            </w:pPr>
            <w:r>
              <w:rPr>
                <w:rFonts w:ascii="Consolas" w:hAnsi="Consolas"/>
                <w:b w:val="0"/>
                <w:i w:val="0"/>
                <w:color w:val="202020"/>
                <w:sz w:val="17"/>
              </w:rPr>
              <w:t># Mathematical formulation: Expanded Rider Search Zone &amp; Overlap Ratio</w:t>
            </w:r>
          </w:p>
          <w:p>
            <w:pPr>
              <w:spacing w:before="0" w:after="0" w:line="252" w:lineRule="auto"/>
            </w:pPr>
            <w:r>
              <w:rPr>
                <w:rFonts w:ascii="Consolas" w:hAnsi="Consolas"/>
                <w:b w:val="0"/>
                <w:i w:val="0"/>
                <w:color w:val="202020"/>
                <w:sz w:val="17"/>
              </w:rPr>
              <w:t>zone_y1 = max(0, by1 - int(bh * 1.20))  # 120% upward vertical envelope</w:t>
            </w:r>
          </w:p>
          <w:p>
            <w:pPr>
              <w:spacing w:before="0" w:after="0" w:line="252" w:lineRule="auto"/>
            </w:pPr>
            <w:r>
              <w:rPr>
                <w:rFonts w:ascii="Consolas" w:hAnsi="Consolas"/>
                <w:b w:val="0"/>
                <w:i w:val="0"/>
                <w:color w:val="202020"/>
                <w:sz w:val="17"/>
              </w:rPr>
              <w:t>zone_x1 = max(0, bx1 - int(bw * 0.15))  # 15% lateral margin</w:t>
            </w:r>
          </w:p>
          <w:p>
            <w:pPr>
              <w:spacing w:before="0" w:after="0" w:line="252" w:lineRule="auto"/>
            </w:pPr>
            <w:r>
              <w:rPr>
                <w:rFonts w:ascii="Consolas" w:hAnsi="Consolas"/>
                <w:b w:val="0"/>
                <w:i w:val="0"/>
                <w:color w:val="202020"/>
                <w:sz w:val="17"/>
              </w:rPr>
              <w:t>zone_x2 = min(W, bx2 + int(bw * 0.15))</w:t>
            </w:r>
          </w:p>
          <w:p>
            <w:pPr>
              <w:spacing w:before="0" w:after="0" w:line="252" w:lineRule="auto"/>
            </w:pPr>
            <w:r>
              <w:rPr>
                <w:rFonts w:ascii="Consolas" w:hAnsi="Consolas"/>
                <w:b w:val="0"/>
                <w:i w:val="0"/>
                <w:color w:val="202020"/>
                <w:sz w:val="17"/>
              </w:rPr>
              <w:t>zone_y2 = min(H, by2 + int(bh * 0.20))  # 20% lower footrest margin</w:t>
            </w:r>
          </w:p>
          <w:p>
            <w:pPr>
              <w:spacing w:before="0" w:after="0" w:line="252" w:lineRule="auto"/>
            </w:pPr>
            <w:r>
              <w:rPr>
                <w:rFonts w:ascii="Consolas" w:hAnsi="Consolas"/>
                <w:b w:val="0"/>
                <w:i w:val="0"/>
                <w:color w:val="202020"/>
                <w:sz w:val="17"/>
              </w:rPr>
              <w:t xml:space="preserve"> </w:t>
            </w:r>
          </w:p>
          <w:p>
            <w:pPr>
              <w:spacing w:before="0" w:after="0" w:line="252" w:lineRule="auto"/>
            </w:pPr>
            <w:r>
              <w:rPr>
                <w:rFonts w:ascii="Consolas" w:hAnsi="Consolas"/>
                <w:b w:val="0"/>
                <w:i w:val="0"/>
                <w:color w:val="202020"/>
                <w:sz w:val="17"/>
              </w:rPr>
              <w:t>def person_overlap_with_zone(person_box, zone_box):</w:t>
            </w:r>
          </w:p>
          <w:p>
            <w:pPr>
              <w:spacing w:before="0" w:after="0" w:line="252" w:lineRule="auto"/>
            </w:pPr>
            <w:r>
              <w:rPr>
                <w:rFonts w:ascii="Consolas" w:hAnsi="Consolas"/>
                <w:b w:val="0"/>
                <w:i w:val="0"/>
                <w:color w:val="202020"/>
                <w:sz w:val="17"/>
              </w:rPr>
              <w:t xml:space="preserve">    ix1, iy1 = max(person_box[0], zone_box[0]), max(person_box[1], zone_box[1])</w:t>
            </w:r>
          </w:p>
          <w:p>
            <w:pPr>
              <w:spacing w:before="0" w:after="0" w:line="252" w:lineRule="auto"/>
            </w:pPr>
            <w:r>
              <w:rPr>
                <w:rFonts w:ascii="Consolas" w:hAnsi="Consolas"/>
                <w:b w:val="0"/>
                <w:i w:val="0"/>
                <w:color w:val="202020"/>
                <w:sz w:val="17"/>
              </w:rPr>
              <w:t xml:space="preserve">    ix2, iy2 = min(person_box[2], zone_box[2]), min(person_box[3], zone_box[3])</w:t>
            </w:r>
          </w:p>
          <w:p>
            <w:pPr>
              <w:spacing w:before="0" w:after="0" w:line="252" w:lineRule="auto"/>
            </w:pPr>
            <w:r>
              <w:rPr>
                <w:rFonts w:ascii="Consolas" w:hAnsi="Consolas"/>
                <w:b w:val="0"/>
                <w:i w:val="0"/>
                <w:color w:val="202020"/>
                <w:sz w:val="17"/>
              </w:rPr>
              <w:t xml:space="preserve">    intersection = max(0, ix2 - ix1) * max(0, iy2 - iy1)</w:t>
            </w:r>
          </w:p>
          <w:p>
            <w:pPr>
              <w:spacing w:before="0" w:after="0" w:line="252" w:lineRule="auto"/>
            </w:pPr>
            <w:r>
              <w:rPr>
                <w:rFonts w:ascii="Consolas" w:hAnsi="Consolas"/>
                <w:b w:val="0"/>
                <w:i w:val="0"/>
                <w:color w:val="202020"/>
                <w:sz w:val="17"/>
              </w:rPr>
              <w:t xml:space="preserve">    area_person = max(1, (person_box[2] - person_box[0]) * (person_box[3] - person_box[1]))</w:t>
            </w:r>
          </w:p>
          <w:p>
            <w:pPr>
              <w:spacing w:before="0" w:after="0" w:line="252" w:lineRule="auto"/>
            </w:pPr>
            <w:r>
              <w:rPr>
                <w:rFonts w:ascii="Consolas" w:hAnsi="Consolas"/>
                <w:b w:val="0"/>
                <w:i w:val="0"/>
                <w:color w:val="202020"/>
                <w:sz w:val="17"/>
              </w:rPr>
              <w:t xml:space="preserve">    return intersection / area_person  # True rider if IoP &gt;= 0.20</w:t>
            </w:r>
          </w:p>
        </w:tc>
      </w:tr>
    </w:tbl>
    <w:p>
      <w:pPr>
        <w:spacing w:before="40" w:after="120"/>
        <w:jc w:val="center"/>
      </w:pPr>
      <w:r>
        <w:rPr>
          <w:rFonts w:ascii="Times New Roman" w:hAnsi="Times New Roman"/>
          <w:b w:val="0"/>
          <w:i/>
          <w:color w:val="595959"/>
          <w:sz w:val="17"/>
        </w:rPr>
        <w:t>Listing 2. Geometric Rider-to-Motorcycle Association Logic (from main.py).</w:t>
      </w:r>
    </w:p>
    <w:p>
      <w:pPr>
        <w:keepNext/>
        <w:spacing w:before="280" w:after="80"/>
      </w:pPr>
      <w:r>
        <w:rPr>
          <w:rFonts w:ascii="Times New Roman" w:hAnsi="Times New Roman"/>
          <w:b/>
          <w:i w:val="0"/>
          <w:color w:val="1F3864"/>
          <w:sz w:val="24"/>
        </w:rPr>
        <w:t>VI. EXPERIMENTAL RESULTS AND EVALUATION</w:t>
      </w:r>
    </w:p>
    <w:p>
      <w:pPr>
        <w:keepNext/>
        <w:spacing w:before="200" w:after="60"/>
      </w:pPr>
      <w:r>
        <w:rPr>
          <w:rFonts w:ascii="Times New Roman" w:hAnsi="Times New Roman"/>
          <w:b/>
          <w:i/>
          <w:color w:val="2E5B82"/>
          <w:sz w:val="21"/>
        </w:rPr>
        <w:t>A. Evaluation Metrics</w:t>
      </w:r>
    </w:p>
    <w:p>
      <w:pPr>
        <w:spacing w:before="0" w:after="80" w:line="276" w:lineRule="auto"/>
        <w:jc w:val="both"/>
      </w:pPr>
      <w:r>
        <w:rPr>
          <w:rFonts w:ascii="Times New Roman" w:hAnsi="Times New Roman"/>
          <w:b w:val="0"/>
          <w:i w:val="0"/>
          <w:color w:val="262626"/>
          <w:sz w:val="20"/>
        </w:rPr>
        <w:t>System performance was evaluated using standard computer vision benchmarking metrics: Precision = TP / (TP + FP) measures detection reliability and false alarm suppression; Recall = TP / (TP + FN) measures violation capture completeness; mAP@0.5 represents Mean Average Precision at an IoU threshold of 0.50; and mAP@0.5:0.95 averages precision across multiple IoU thresholds (0.50 to 0.95 in 0.05 increments), measuring bounding box boundary tightness.</w:t>
      </w:r>
    </w:p>
    <w:p>
      <w:pPr>
        <w:keepNext/>
        <w:spacing w:before="200" w:after="60"/>
      </w:pPr>
      <w:r>
        <w:rPr>
          <w:rFonts w:ascii="Times New Roman" w:hAnsi="Times New Roman"/>
          <w:b/>
          <w:i/>
          <w:color w:val="2E5B82"/>
          <w:sz w:val="21"/>
        </w:rPr>
        <w:t>B. Quantitative Detection Performance Across Lighting Regimes</w:t>
      </w:r>
    </w:p>
    <w:p>
      <w:pPr>
        <w:spacing w:before="0" w:after="80" w:line="276" w:lineRule="auto"/>
        <w:jc w:val="both"/>
      </w:pPr>
      <w:r>
        <w:rPr>
          <w:rFonts w:ascii="Times New Roman" w:hAnsi="Times New Roman"/>
          <w:b w:val="0"/>
          <w:i w:val="0"/>
          <w:color w:val="262626"/>
          <w:sz w:val="20"/>
        </w:rPr>
        <w:t>To rigorously validate the proposed USP, comparative evaluation was conducted across three distinct environmental regimes: (1) Standard Daytime surveillance (baseline), (2) Nocturnal surveillance without enhancement (representing legacy systems), and (3) Nocturnal surveillance with our proposed CLAHE + Gamma enhancement pipeline active. Table VI summarizes the empirical results.</w:t>
      </w:r>
    </w:p>
    <w:p>
      <w:pPr>
        <w:keepNext/>
        <w:spacing w:before="160" w:after="60"/>
        <w:jc w:val="center"/>
      </w:pPr>
      <w:r>
        <w:rPr>
          <w:rFonts w:ascii="Times New Roman" w:hAnsi="Times New Roman"/>
          <w:b/>
          <w:i w:val="0"/>
          <w:color w:val="1F3864"/>
          <w:sz w:val="19"/>
        </w:rPr>
        <w:t>Table VI. Quantitative Vehicle and Rider Detection Performance Across Illumination Regimes.</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4032"/>
            <w:shd w:fill="1F3864"/>
            <w:vAlign w:val="center"/>
          </w:tcPr>
          <w:p>
            <w:pPr>
              <w:spacing w:before="60" w:after="60"/>
              <w:jc w:val="center"/>
            </w:pPr>
            <w:r>
              <w:rPr>
                <w:rFonts w:ascii="Times New Roman" w:hAnsi="Times New Roman"/>
                <w:b/>
                <w:i w:val="0"/>
                <w:color w:val="FFFFFF"/>
                <w:sz w:val="18"/>
              </w:rPr>
              <w:t>Environmental Condition / Regime</w:t>
            </w:r>
          </w:p>
        </w:tc>
        <w:tc>
          <w:tcPr>
            <w:tcW w:type="dxa" w:w="1584"/>
            <w:shd w:fill="1F3864"/>
            <w:vAlign w:val="center"/>
          </w:tcPr>
          <w:p>
            <w:pPr>
              <w:spacing w:before="60" w:after="60"/>
              <w:jc w:val="center"/>
            </w:pPr>
            <w:r>
              <w:rPr>
                <w:rFonts w:ascii="Times New Roman" w:hAnsi="Times New Roman"/>
                <w:b/>
                <w:i w:val="0"/>
                <w:color w:val="FFFFFF"/>
                <w:sz w:val="18"/>
              </w:rPr>
              <w:t>mAP@0.5</w:t>
            </w:r>
          </w:p>
        </w:tc>
        <w:tc>
          <w:tcPr>
            <w:tcW w:type="dxa" w:w="1728"/>
            <w:shd w:fill="1F3864"/>
            <w:vAlign w:val="center"/>
          </w:tcPr>
          <w:p>
            <w:pPr>
              <w:spacing w:before="60" w:after="60"/>
              <w:jc w:val="center"/>
            </w:pPr>
            <w:r>
              <w:rPr>
                <w:rFonts w:ascii="Times New Roman" w:hAnsi="Times New Roman"/>
                <w:b/>
                <w:i w:val="0"/>
                <w:color w:val="FFFFFF"/>
                <w:sz w:val="18"/>
              </w:rPr>
              <w:t>mAP@0.5:0.95</w:t>
            </w:r>
          </w:p>
        </w:tc>
        <w:tc>
          <w:tcPr>
            <w:tcW w:type="dxa" w:w="1584"/>
            <w:shd w:fill="1F3864"/>
            <w:vAlign w:val="center"/>
          </w:tcPr>
          <w:p>
            <w:pPr>
              <w:spacing w:before="60" w:after="60"/>
              <w:jc w:val="center"/>
            </w:pPr>
            <w:r>
              <w:rPr>
                <w:rFonts w:ascii="Times New Roman" w:hAnsi="Times New Roman"/>
                <w:b/>
                <w:i w:val="0"/>
                <w:color w:val="FFFFFF"/>
                <w:sz w:val="18"/>
              </w:rPr>
              <w:t>Precision</w:t>
            </w:r>
          </w:p>
        </w:tc>
        <w:tc>
          <w:tcPr>
            <w:tcW w:type="dxa" w:w="1584"/>
            <w:shd w:fill="1F3864"/>
            <w:vAlign w:val="center"/>
          </w:tcPr>
          <w:p>
            <w:pPr>
              <w:spacing w:before="60" w:after="60"/>
              <w:jc w:val="center"/>
            </w:pPr>
            <w:r>
              <w:rPr>
                <w:rFonts w:ascii="Times New Roman" w:hAnsi="Times New Roman"/>
                <w:b/>
                <w:i w:val="0"/>
                <w:color w:val="FFFFFF"/>
                <w:sz w:val="18"/>
              </w:rPr>
              <w:t>Recall</w:t>
            </w:r>
          </w:p>
        </w:tc>
      </w:tr>
      <w:tr>
        <w:tc>
          <w:tcPr>
            <w:tcW w:type="dxa" w:w="403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Daytime Illumination (Baseline)</w:t>
            </w:r>
          </w:p>
        </w:tc>
        <w:tc>
          <w:tcPr>
            <w:tcW w:type="dxa" w:w="1584"/>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0.91</w:t>
            </w:r>
          </w:p>
        </w:tc>
        <w:tc>
          <w:tcPr>
            <w:tcW w:type="dxa" w:w="1728"/>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0.68</w:t>
            </w:r>
          </w:p>
        </w:tc>
        <w:tc>
          <w:tcPr>
            <w:tcW w:type="dxa" w:w="1584"/>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0.90</w:t>
            </w:r>
          </w:p>
        </w:tc>
        <w:tc>
          <w:tcPr>
            <w:tcW w:type="dxa" w:w="1584"/>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0.88</w:t>
            </w:r>
          </w:p>
        </w:tc>
      </w:tr>
      <w:tr>
        <w:tc>
          <w:tcPr>
            <w:tcW w:type="dxa" w:w="403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Night — Enhancement OFF (Legacy Systems)</w:t>
            </w:r>
          </w:p>
        </w:tc>
        <w:tc>
          <w:tcPr>
            <w:tcW w:type="dxa" w:w="1584"/>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0.62</w:t>
            </w:r>
          </w:p>
        </w:tc>
        <w:tc>
          <w:tcPr>
            <w:tcW w:type="dxa" w:w="1728"/>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0.41</w:t>
            </w:r>
          </w:p>
        </w:tc>
        <w:tc>
          <w:tcPr>
            <w:tcW w:type="dxa" w:w="1584"/>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0.65</w:t>
            </w:r>
          </w:p>
        </w:tc>
        <w:tc>
          <w:tcPr>
            <w:tcW w:type="dxa" w:w="1584"/>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0.60</w:t>
            </w:r>
          </w:p>
        </w:tc>
      </w:tr>
      <w:tr>
        <w:tc>
          <w:tcPr>
            <w:tcW w:type="dxa" w:w="403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Night — Enhancement ON (Proposed System)</w:t>
            </w:r>
          </w:p>
        </w:tc>
        <w:tc>
          <w:tcPr>
            <w:tcW w:type="dxa" w:w="1584"/>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0.83</w:t>
            </w:r>
          </w:p>
        </w:tc>
        <w:tc>
          <w:tcPr>
            <w:tcW w:type="dxa" w:w="1728"/>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0.59</w:t>
            </w:r>
          </w:p>
        </w:tc>
        <w:tc>
          <w:tcPr>
            <w:tcW w:type="dxa" w:w="1584"/>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0.85</w:t>
            </w:r>
          </w:p>
        </w:tc>
        <w:tc>
          <w:tcPr>
            <w:tcW w:type="dxa" w:w="1584"/>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0.81</w:t>
            </w:r>
          </w:p>
        </w:tc>
      </w:tr>
    </w:tbl>
    <w:p>
      <w:pPr>
        <w:spacing w:after="80"/>
      </w:pPr>
    </w:p>
    <w:p>
      <w:pPr>
        <w:spacing w:before="0" w:after="80" w:line="276" w:lineRule="auto"/>
        <w:jc w:val="both"/>
      </w:pPr>
      <w:r>
        <w:rPr>
          <w:rFonts w:ascii="Times New Roman" w:hAnsi="Times New Roman"/>
          <w:b w:val="0"/>
          <w:i w:val="0"/>
          <w:color w:val="262626"/>
          <w:sz w:val="20"/>
        </w:rPr>
        <w:t>Analysis of Table VI demonstrates the profound impact of the lighting-adaptive front end: without pre-processing, nocturnal detection accuracy collapses by 29% (mAP@0.5 dropping from 0.91 to 0.62) as the feature extraction layers fail to extract sharp vehicle contours. With enhancement active, mAP@0.5 rebounds to 0.83—recovering 72% of the performance lost to darkness (+21% absolute improvement).</w:t>
      </w:r>
    </w:p>
    <w:p>
      <w:pPr>
        <w:keepNext/>
        <w:spacing w:before="200" w:after="60"/>
      </w:pPr>
      <w:r>
        <w:rPr>
          <w:rFonts w:ascii="Times New Roman" w:hAnsi="Times New Roman"/>
          <w:b/>
          <w:i/>
          <w:color w:val="2E5B82"/>
          <w:sz w:val="21"/>
        </w:rPr>
        <w:t>C. Helmet Classification Confusion Analysis</w:t>
      </w:r>
    </w:p>
    <w:p>
      <w:pPr>
        <w:spacing w:before="0" w:after="80" w:line="276" w:lineRule="auto"/>
        <w:jc w:val="both"/>
      </w:pPr>
      <w:r>
        <w:rPr>
          <w:rFonts w:ascii="Times New Roman" w:hAnsi="Times New Roman"/>
          <w:b w:val="0"/>
          <w:i w:val="0"/>
          <w:color w:val="262626"/>
          <w:sz w:val="20"/>
        </w:rPr>
        <w:t>Table VII presents the confusion matrix for the custom helmet classifier evaluated across test crops. The model demonstrates high fidelity, achieving an overall classification accuracy of 94.1%, a Precision of 94.7% on the unhelmeted class, a Recall of 92.4%, and an aggregate F1-score of 93.5%.</w:t>
      </w:r>
    </w:p>
    <w:p>
      <w:pPr>
        <w:keepNext/>
        <w:spacing w:before="160" w:after="60"/>
        <w:jc w:val="center"/>
      </w:pPr>
      <w:r>
        <w:rPr>
          <w:rFonts w:ascii="Times New Roman" w:hAnsi="Times New Roman"/>
          <w:b/>
          <w:i w:val="0"/>
          <w:color w:val="1F3864"/>
          <w:sz w:val="19"/>
        </w:rPr>
        <w:t>Table VII. Confusion Matrix for Helmet Compliance Classification (`helmet.pt`).</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3456"/>
            <w:shd w:fill="1F3864"/>
            <w:vAlign w:val="center"/>
          </w:tcPr>
          <w:p>
            <w:pPr>
              <w:spacing w:before="60" w:after="60"/>
              <w:jc w:val="center"/>
            </w:pPr>
            <w:r>
              <w:rPr>
                <w:rFonts w:ascii="Times New Roman" w:hAnsi="Times New Roman"/>
                <w:b/>
                <w:i w:val="0"/>
                <w:color w:val="FFFFFF"/>
                <w:sz w:val="18"/>
              </w:rPr>
              <w:t>Ground Truth Class</w:t>
            </w:r>
          </w:p>
        </w:tc>
        <w:tc>
          <w:tcPr>
            <w:tcW w:type="dxa" w:w="3168"/>
            <w:shd w:fill="1F3864"/>
            <w:vAlign w:val="center"/>
          </w:tcPr>
          <w:p>
            <w:pPr>
              <w:spacing w:before="60" w:after="60"/>
              <w:jc w:val="center"/>
            </w:pPr>
            <w:r>
              <w:rPr>
                <w:rFonts w:ascii="Times New Roman" w:hAnsi="Times New Roman"/>
                <w:b/>
                <w:i w:val="0"/>
                <w:color w:val="FFFFFF"/>
                <w:sz w:val="18"/>
              </w:rPr>
              <w:t>Predicted: Helmet (`withHelmet`)</w:t>
            </w:r>
          </w:p>
        </w:tc>
        <w:tc>
          <w:tcPr>
            <w:tcW w:type="dxa" w:w="3168"/>
            <w:shd w:fill="1F3864"/>
            <w:vAlign w:val="center"/>
          </w:tcPr>
          <w:p>
            <w:pPr>
              <w:spacing w:before="60" w:after="60"/>
              <w:jc w:val="center"/>
            </w:pPr>
            <w:r>
              <w:rPr>
                <w:rFonts w:ascii="Times New Roman" w:hAnsi="Times New Roman"/>
                <w:b/>
                <w:i w:val="0"/>
                <w:color w:val="FFFFFF"/>
                <w:sz w:val="18"/>
              </w:rPr>
              <w:t>Predicted: No-Helmet (`withoutHelmet`)</w:t>
            </w:r>
          </w:p>
        </w:tc>
        <w:tc>
          <w:tcPr>
            <w:tcW w:type="dxa" w:w="1728"/>
            <w:shd w:fill="1F3864"/>
            <w:vAlign w:val="center"/>
          </w:tcPr>
          <w:p>
            <w:pPr>
              <w:spacing w:before="60" w:after="60"/>
              <w:jc w:val="center"/>
            </w:pPr>
            <w:r>
              <w:rPr>
                <w:rFonts w:ascii="Times New Roman" w:hAnsi="Times New Roman"/>
                <w:b/>
                <w:i w:val="0"/>
                <w:color w:val="FFFFFF"/>
                <w:sz w:val="18"/>
              </w:rPr>
              <w:t>Total Class Samples</w:t>
            </w:r>
          </w:p>
        </w:tc>
      </w:tr>
      <w:tr>
        <w:tc>
          <w:tcPr>
            <w:tcW w:type="dxa" w:w="3456"/>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Actual: Helmet (`withHelmet`)</w:t>
            </w:r>
          </w:p>
        </w:tc>
        <w:tc>
          <w:tcPr>
            <w:tcW w:type="dxa" w:w="3168"/>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TP = 412 (True Positive)</w:t>
            </w:r>
          </w:p>
        </w:tc>
        <w:tc>
          <w:tcPr>
            <w:tcW w:type="dxa" w:w="3168"/>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FN = 28 (False Negative)</w:t>
            </w:r>
          </w:p>
        </w:tc>
        <w:tc>
          <w:tcPr>
            <w:tcW w:type="dxa" w:w="1728"/>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440</w:t>
            </w:r>
          </w:p>
        </w:tc>
      </w:tr>
      <w:tr>
        <w:tc>
          <w:tcPr>
            <w:tcW w:type="dxa" w:w="3456"/>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Actual: No-Helmet (`withoutHelmet`)</w:t>
            </w:r>
          </w:p>
        </w:tc>
        <w:tc>
          <w:tcPr>
            <w:tcW w:type="dxa" w:w="3168"/>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FP = 19 (False Positive)</w:t>
            </w:r>
          </w:p>
        </w:tc>
        <w:tc>
          <w:tcPr>
            <w:tcW w:type="dxa" w:w="3168"/>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TN = 341 (True Negative)</w:t>
            </w:r>
          </w:p>
        </w:tc>
        <w:tc>
          <w:tcPr>
            <w:tcW w:type="dxa" w:w="1728"/>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360</w:t>
            </w:r>
          </w:p>
        </w:tc>
      </w:tr>
    </w:tbl>
    <w:p>
      <w:pPr>
        <w:spacing w:after="80"/>
      </w:pPr>
    </w:p>
    <w:p>
      <w:pPr>
        <w:keepNext/>
        <w:spacing w:before="200" w:after="60"/>
      </w:pPr>
      <w:r>
        <w:rPr>
          <w:rFonts w:ascii="Times New Roman" w:hAnsi="Times New Roman"/>
          <w:b/>
          <w:i/>
          <w:color w:val="2E5B82"/>
          <w:sz w:val="21"/>
        </w:rPr>
        <w:t>D. OCR Recognition Fidelity Across Lighting Regimes</w:t>
      </w:r>
    </w:p>
    <w:p>
      <w:pPr>
        <w:spacing w:before="0" w:after="80" w:line="276" w:lineRule="auto"/>
        <w:jc w:val="both"/>
      </w:pPr>
      <w:r>
        <w:rPr>
          <w:rFonts w:ascii="Times New Roman" w:hAnsi="Times New Roman"/>
          <w:b w:val="0"/>
          <w:i w:val="0"/>
          <w:color w:val="262626"/>
          <w:sz w:val="20"/>
        </w:rPr>
        <w:t>License plate recognition fidelity is highly sensitive to illumination, as contrast loss obscures character kerning. Table VIII details character-level and full-plate exact match accuracy. Under night conditions without enhancement, full-plate match falls to an unusable 48.0%. With CLAHE and gamma correction, local character contrast is restored, boosting exact match accuracy to 76.3%.</w:t>
      </w:r>
    </w:p>
    <w:p>
      <w:pPr>
        <w:keepNext/>
        <w:spacing w:before="160" w:after="60"/>
        <w:jc w:val="center"/>
      </w:pPr>
      <w:r>
        <w:rPr>
          <w:rFonts w:ascii="Times New Roman" w:hAnsi="Times New Roman"/>
          <w:b/>
          <w:i w:val="0"/>
          <w:color w:val="1F3864"/>
          <w:sz w:val="19"/>
        </w:rPr>
        <w:t>Table VIII. Optical Character Recognition (EasyOCR) Performance Comparison.</w:t>
      </w:r>
    </w:p>
    <w:tbl>
      <w:tblPr>
        <w:tblW w:type="auto" w:w="0"/>
        <w:jc w:val="center"/>
        <w:tblLayout w:type="fixed"/>
        <w:tblLook w:firstColumn="1" w:firstRow="1" w:lastColumn="0" w:lastRow="0" w:noHBand="0" w:noVBand="1" w:val="04A0"/>
      </w:tblPr>
      <w:tblGrid>
        <w:gridCol w:w="3213"/>
        <w:gridCol w:w="3213"/>
        <w:gridCol w:w="3213"/>
      </w:tblGrid>
      <w:tr>
        <w:tc>
          <w:tcPr>
            <w:tcW w:type="dxa" w:w="4032"/>
            <w:shd w:fill="1F3864"/>
            <w:vAlign w:val="center"/>
          </w:tcPr>
          <w:p>
            <w:pPr>
              <w:spacing w:before="60" w:after="60"/>
              <w:jc w:val="center"/>
            </w:pPr>
            <w:r>
              <w:rPr>
                <w:rFonts w:ascii="Times New Roman" w:hAnsi="Times New Roman"/>
                <w:b/>
                <w:i w:val="0"/>
                <w:color w:val="FFFFFF"/>
                <w:sz w:val="18"/>
              </w:rPr>
              <w:t>Illumination Condition</w:t>
            </w:r>
          </w:p>
        </w:tc>
        <w:tc>
          <w:tcPr>
            <w:tcW w:type="dxa" w:w="3312"/>
            <w:shd w:fill="1F3864"/>
            <w:vAlign w:val="center"/>
          </w:tcPr>
          <w:p>
            <w:pPr>
              <w:spacing w:before="60" w:after="60"/>
              <w:jc w:val="center"/>
            </w:pPr>
            <w:r>
              <w:rPr>
                <w:rFonts w:ascii="Times New Roman" w:hAnsi="Times New Roman"/>
                <w:b/>
                <w:i w:val="0"/>
                <w:color w:val="FFFFFF"/>
                <w:sz w:val="18"/>
              </w:rPr>
              <w:t>Character-Level Accuracy (%)</w:t>
            </w:r>
          </w:p>
        </w:tc>
        <w:tc>
          <w:tcPr>
            <w:tcW w:type="dxa" w:w="3312"/>
            <w:shd w:fill="1F3864"/>
            <w:vAlign w:val="center"/>
          </w:tcPr>
          <w:p>
            <w:pPr>
              <w:spacing w:before="60" w:after="60"/>
              <w:jc w:val="center"/>
            </w:pPr>
            <w:r>
              <w:rPr>
                <w:rFonts w:ascii="Times New Roman" w:hAnsi="Times New Roman"/>
                <w:b/>
                <w:i w:val="0"/>
                <w:color w:val="FFFFFF"/>
                <w:sz w:val="18"/>
              </w:rPr>
              <w:t>Full-Plate Exact Match Accuracy (%)</w:t>
            </w:r>
          </w:p>
        </w:tc>
      </w:tr>
      <w:tr>
        <w:tc>
          <w:tcPr>
            <w:tcW w:type="dxa" w:w="403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Daytime Ambient Illumination</w:t>
            </w:r>
          </w:p>
        </w:tc>
        <w:tc>
          <w:tcPr>
            <w:tcW w:type="dxa" w:w="331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96.2%</w:t>
            </w:r>
          </w:p>
        </w:tc>
        <w:tc>
          <w:tcPr>
            <w:tcW w:type="dxa" w:w="3312"/>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89.5%</w:t>
            </w:r>
          </w:p>
        </w:tc>
      </w:tr>
      <w:tr>
        <w:tc>
          <w:tcPr>
            <w:tcW w:type="dxa" w:w="403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Night — Enhancement OFF (Legacy)</w:t>
            </w:r>
          </w:p>
        </w:tc>
        <w:tc>
          <w:tcPr>
            <w:tcW w:type="dxa" w:w="331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71.4%</w:t>
            </w:r>
          </w:p>
        </w:tc>
        <w:tc>
          <w:tcPr>
            <w:tcW w:type="dxa" w:w="3312"/>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48.0%</w:t>
            </w:r>
          </w:p>
        </w:tc>
      </w:tr>
      <w:tr>
        <w:tc>
          <w:tcPr>
            <w:tcW w:type="dxa" w:w="403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Night — Enhancement ON (Proposed)</w:t>
            </w:r>
          </w:p>
        </w:tc>
        <w:tc>
          <w:tcPr>
            <w:tcW w:type="dxa" w:w="331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88.7%</w:t>
            </w:r>
          </w:p>
        </w:tc>
        <w:tc>
          <w:tcPr>
            <w:tcW w:type="dxa" w:w="3312"/>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76.3%</w:t>
            </w:r>
          </w:p>
        </w:tc>
      </w:tr>
    </w:tbl>
    <w:p>
      <w:pPr>
        <w:spacing w:after="80"/>
      </w:pPr>
    </w:p>
    <w:p>
      <w:pPr>
        <w:keepNext/>
        <w:spacing w:before="200" w:after="60"/>
      </w:pPr>
      <w:r>
        <w:rPr>
          <w:rFonts w:ascii="Times New Roman" w:hAnsi="Times New Roman"/>
          <w:b/>
          <w:i/>
          <w:color w:val="2E5B82"/>
          <w:sz w:val="21"/>
        </w:rPr>
        <w:t>E. Computational Latency and Throughput Profile</w:t>
      </w:r>
    </w:p>
    <w:p>
      <w:pPr>
        <w:spacing w:before="0" w:after="80" w:line="276" w:lineRule="auto"/>
        <w:jc w:val="both"/>
      </w:pPr>
      <w:r>
        <w:rPr>
          <w:rFonts w:ascii="Times New Roman" w:hAnsi="Times New Roman"/>
          <w:b w:val="0"/>
          <w:i w:val="0"/>
          <w:color w:val="262626"/>
          <w:sz w:val="20"/>
        </w:rPr>
        <w:t>To confirm suitability for real-time edge deployment, execution latency was profiled per functional stage. Table IX reveals that lighting estimation adds a negligible 1.8 ms overhead, while CLAHE and LUT gamma transformation require only 9.4 ms. Crucially, because EasyOCR (142.0 ms) is deferred exclusively to confirmed violations, the baseline non-violating loop runs at ~38 FPS in daylight and ~28 FPS at night, well above the 25 FPS threshold required for real-time video surveillance.</w:t>
      </w:r>
    </w:p>
    <w:p>
      <w:pPr>
        <w:keepNext/>
        <w:spacing w:before="160" w:after="60"/>
        <w:jc w:val="center"/>
      </w:pPr>
      <w:r>
        <w:rPr>
          <w:rFonts w:ascii="Times New Roman" w:hAnsi="Times New Roman"/>
          <w:b/>
          <w:i w:val="0"/>
          <w:color w:val="1F3864"/>
          <w:sz w:val="19"/>
        </w:rPr>
        <w:t>Table IX. Computational Latency and Throughput Breakdown per Functional Stage.</w:t>
      </w:r>
    </w:p>
    <w:tbl>
      <w:tblPr>
        <w:tblW w:type="auto" w:w="0"/>
        <w:jc w:val="center"/>
        <w:tblLayout w:type="fixed"/>
        <w:tblLook w:firstColumn="1" w:firstRow="1" w:lastColumn="0" w:lastRow="0" w:noHBand="0" w:noVBand="1" w:val="04A0"/>
      </w:tblPr>
      <w:tblGrid>
        <w:gridCol w:w="3213"/>
        <w:gridCol w:w="3213"/>
        <w:gridCol w:w="3213"/>
      </w:tblGrid>
      <w:tr>
        <w:tc>
          <w:tcPr>
            <w:tcW w:type="dxa" w:w="4032"/>
            <w:shd w:fill="1F3864"/>
            <w:vAlign w:val="center"/>
          </w:tcPr>
          <w:p>
            <w:pPr>
              <w:spacing w:before="60" w:after="60"/>
              <w:jc w:val="center"/>
            </w:pPr>
            <w:r>
              <w:rPr>
                <w:rFonts w:ascii="Times New Roman" w:hAnsi="Times New Roman"/>
                <w:b/>
                <w:i w:val="0"/>
                <w:color w:val="FFFFFF"/>
                <w:sz w:val="18"/>
              </w:rPr>
              <w:t>Pipeline Stage / Operation</w:t>
            </w:r>
          </w:p>
        </w:tc>
        <w:tc>
          <w:tcPr>
            <w:tcW w:type="dxa" w:w="3168"/>
            <w:shd w:fill="1F3864"/>
            <w:vAlign w:val="center"/>
          </w:tcPr>
          <w:p>
            <w:pPr>
              <w:spacing w:before="60" w:after="60"/>
              <w:jc w:val="center"/>
            </w:pPr>
            <w:r>
              <w:rPr>
                <w:rFonts w:ascii="Times New Roman" w:hAnsi="Times New Roman"/>
                <w:b/>
                <w:i w:val="0"/>
                <w:color w:val="FFFFFF"/>
                <w:sz w:val="18"/>
              </w:rPr>
              <w:t>Average Execution Latency (ms)</w:t>
            </w:r>
          </w:p>
        </w:tc>
        <w:tc>
          <w:tcPr>
            <w:tcW w:type="dxa" w:w="3168"/>
            <w:shd w:fill="1F3864"/>
            <w:vAlign w:val="center"/>
          </w:tcPr>
          <w:p>
            <w:pPr>
              <w:spacing w:before="60" w:after="60"/>
              <w:jc w:val="center"/>
            </w:pPr>
            <w:r>
              <w:rPr>
                <w:rFonts w:ascii="Times New Roman" w:hAnsi="Times New Roman"/>
                <w:b/>
                <w:i w:val="0"/>
                <w:color w:val="FFFFFF"/>
                <w:sz w:val="18"/>
              </w:rPr>
              <w:t>Execution Condition</w:t>
            </w:r>
          </w:p>
        </w:tc>
      </w:tr>
      <w:tr>
        <w:tc>
          <w:tcPr>
            <w:tcW w:type="dxa" w:w="403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Lighting Estimation (`is_low_light`)</w:t>
            </w:r>
          </w:p>
        </w:tc>
        <w:tc>
          <w:tcPr>
            <w:tcW w:type="dxa" w:w="3168"/>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1.8 ms</w:t>
            </w:r>
          </w:p>
        </w:tc>
        <w:tc>
          <w:tcPr>
            <w:tcW w:type="dxa" w:w="3168"/>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Every frame (continuous)</w:t>
            </w:r>
          </w:p>
        </w:tc>
      </w:tr>
      <w:tr>
        <w:tc>
          <w:tcPr>
            <w:tcW w:type="dxa" w:w="403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Illumination Enhancement (`enhance_frame`)</w:t>
            </w:r>
          </w:p>
        </w:tc>
        <w:tc>
          <w:tcPr>
            <w:tcW w:type="dxa" w:w="3168"/>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9.4 ms</w:t>
            </w:r>
          </w:p>
        </w:tc>
        <w:tc>
          <w:tcPr>
            <w:tcW w:type="dxa" w:w="3168"/>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Only when low-light flagged</w:t>
            </w:r>
          </w:p>
        </w:tc>
      </w:tr>
      <w:tr>
        <w:tc>
          <w:tcPr>
            <w:tcW w:type="dxa" w:w="403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YOLOv8s Tracking (`model.track`)</w:t>
            </w:r>
          </w:p>
        </w:tc>
        <w:tc>
          <w:tcPr>
            <w:tcW w:type="dxa" w:w="3168"/>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18.6 ms</w:t>
            </w:r>
          </w:p>
        </w:tc>
        <w:tc>
          <w:tcPr>
            <w:tcW w:type="dxa" w:w="3168"/>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Every frame (continuous)</w:t>
            </w:r>
          </w:p>
        </w:tc>
      </w:tr>
      <w:tr>
        <w:tc>
          <w:tcPr>
            <w:tcW w:type="dxa" w:w="403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Geometric Rider Association</w:t>
            </w:r>
          </w:p>
        </w:tc>
        <w:tc>
          <w:tcPr>
            <w:tcW w:type="dxa" w:w="3168"/>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0.6 ms</w:t>
            </w:r>
          </w:p>
        </w:tc>
        <w:tc>
          <w:tcPr>
            <w:tcW w:type="dxa" w:w="3168"/>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Every frame (continuous)</w:t>
            </w:r>
          </w:p>
        </w:tc>
      </w:tr>
      <w:tr>
        <w:tc>
          <w:tcPr>
            <w:tcW w:type="dxa" w:w="403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Helmet Inference (`helmet.pt` crop)</w:t>
            </w:r>
          </w:p>
        </w:tc>
        <w:tc>
          <w:tcPr>
            <w:tcW w:type="dxa" w:w="3168"/>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5.2 ms</w:t>
            </w:r>
          </w:p>
        </w:tc>
        <w:tc>
          <w:tcPr>
            <w:tcW w:type="dxa" w:w="3168"/>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Per tracked motorcycle crop</w:t>
            </w:r>
          </w:p>
        </w:tc>
      </w:tr>
      <w:tr>
        <w:tc>
          <w:tcPr>
            <w:tcW w:type="dxa" w:w="403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EasyOCR Text Transcription</w:t>
            </w:r>
          </w:p>
        </w:tc>
        <w:tc>
          <w:tcPr>
            <w:tcW w:type="dxa" w:w="3168"/>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142.0 ms</w:t>
            </w:r>
          </w:p>
        </w:tc>
        <w:tc>
          <w:tcPr>
            <w:tcW w:type="dxa" w:w="3168"/>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Exclusively on confirmed violations</w:t>
            </w:r>
          </w:p>
        </w:tc>
      </w:tr>
      <w:tr>
        <w:tc>
          <w:tcPr>
            <w:tcW w:type="dxa" w:w="403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Relational SQL Logging + Snapshot Save</w:t>
            </w:r>
          </w:p>
        </w:tc>
        <w:tc>
          <w:tcPr>
            <w:tcW w:type="dxa" w:w="3168"/>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4.2 ms</w:t>
            </w:r>
          </w:p>
        </w:tc>
        <w:tc>
          <w:tcPr>
            <w:tcW w:type="dxa" w:w="3168"/>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Exclusively on confirmed violations</w:t>
            </w:r>
          </w:p>
        </w:tc>
      </w:tr>
      <w:tr>
        <w:tc>
          <w:tcPr>
            <w:tcW w:type="dxa" w:w="4032"/>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Total Non-Violating Daytime Loop</w:t>
            </w:r>
          </w:p>
        </w:tc>
        <w:tc>
          <w:tcPr>
            <w:tcW w:type="dxa" w:w="3168"/>
            <w:shd w:fill="F9FAFC"/>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 26.2 ms (~38 FPS)</w:t>
            </w:r>
          </w:p>
        </w:tc>
        <w:tc>
          <w:tcPr>
            <w:tcW w:type="dxa" w:w="3168"/>
            <w:shd w:fill="F9FAFC"/>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Real-time compliant</w:t>
            </w:r>
          </w:p>
        </w:tc>
      </w:tr>
      <w:tr>
        <w:tc>
          <w:tcPr>
            <w:tcW w:type="dxa" w:w="4032"/>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Total Non-Violating Nocturnal Loop</w:t>
            </w:r>
          </w:p>
        </w:tc>
        <w:tc>
          <w:tcPr>
            <w:tcW w:type="dxa" w:w="3168"/>
            <w:tcBorders>
              <w:top w:val="single" w:sz="4" w:space="0" w:color="E0E0E0"/>
              <w:bottom w:val="single" w:sz="4" w:space="0" w:color="E0E0E0"/>
              <w:left w:val="none"/>
              <w:right w:val="none"/>
            </w:tcBorders>
            <w:vAlign w:val="center"/>
          </w:tcPr>
          <w:p>
            <w:pPr>
              <w:spacing w:before="50" w:after="50" w:line="264" w:lineRule="auto"/>
              <w:jc w:val="left"/>
            </w:pPr>
            <w:r>
              <w:rPr>
                <w:rFonts w:ascii="Times New Roman" w:hAnsi="Times New Roman"/>
                <w:b w:val="0"/>
                <w:i w:val="0"/>
                <w:color w:val="262626"/>
                <w:sz w:val="17"/>
              </w:rPr>
              <w:t>≈ 35.6 ms (~28 FPS)</w:t>
            </w:r>
          </w:p>
        </w:tc>
        <w:tc>
          <w:tcPr>
            <w:tcW w:type="dxa" w:w="3168"/>
            <w:tcBorders>
              <w:top w:val="single" w:sz="4" w:space="0" w:color="E0E0E0"/>
              <w:bottom w:val="single" w:sz="4" w:space="0" w:color="E0E0E0"/>
              <w:left w:val="none"/>
              <w:right w:val="none"/>
            </w:tcBorders>
            <w:vAlign w:val="center"/>
          </w:tcPr>
          <w:p>
            <w:pPr>
              <w:spacing w:before="50" w:after="50" w:line="264" w:lineRule="auto"/>
              <w:jc w:val="center"/>
            </w:pPr>
            <w:r>
              <w:rPr>
                <w:rFonts w:ascii="Times New Roman" w:hAnsi="Times New Roman"/>
                <w:b w:val="0"/>
                <w:i w:val="0"/>
                <w:color w:val="262626"/>
                <w:sz w:val="17"/>
              </w:rPr>
              <w:t>Real-time compliant</w:t>
            </w:r>
          </w:p>
        </w:tc>
      </w:tr>
    </w:tbl>
    <w:p>
      <w:pPr>
        <w:spacing w:after="80"/>
      </w:pPr>
    </w:p>
    <w:p>
      <w:pPr>
        <w:keepNext/>
        <w:spacing w:before="280" w:after="80"/>
      </w:pPr>
      <w:r>
        <w:rPr>
          <w:rFonts w:ascii="Times New Roman" w:hAnsi="Times New Roman"/>
          <w:b/>
          <w:i w:val="0"/>
          <w:color w:val="1F3864"/>
          <w:sz w:val="24"/>
        </w:rPr>
        <w:t>VII. LIMITATIONS, ETHICAL CONSIDERATIONS AND FUTURE SCOPE</w:t>
      </w:r>
    </w:p>
    <w:p>
      <w:pPr>
        <w:keepNext/>
        <w:spacing w:before="200" w:after="60"/>
      </w:pPr>
      <w:r>
        <w:rPr>
          <w:rFonts w:ascii="Times New Roman" w:hAnsi="Times New Roman"/>
          <w:b/>
          <w:i/>
          <w:color w:val="2E5B82"/>
          <w:sz w:val="21"/>
        </w:rPr>
        <w:t>A. Technical Limitations</w:t>
      </w:r>
    </w:p>
    <w:p>
      <w:pPr>
        <w:spacing w:before="0" w:after="80" w:line="276" w:lineRule="auto"/>
        <w:jc w:val="both"/>
      </w:pPr>
      <w:r>
        <w:rPr>
          <w:rFonts w:ascii="Times New Roman" w:hAnsi="Times New Roman"/>
          <w:b w:val="0"/>
          <w:i w:val="0"/>
          <w:color w:val="262626"/>
          <w:sz w:val="20"/>
        </w:rPr>
        <w:t>While the lighting-adaptive pipeline substantially bridges the day-night performance gap, several physical boundary conditions remain:</w:t>
      </w:r>
    </w:p>
    <w:p>
      <w:pPr>
        <w:pStyle w:val="ListBullet"/>
        <w:spacing w:before="20" w:after="60" w:line="276" w:lineRule="auto"/>
        <w:jc w:val="both"/>
      </w:pPr>
      <w:r>
        <w:rPr>
          <w:rFonts w:ascii="Times New Roman" w:hAnsi="Times New Roman"/>
          <w:b/>
          <w:i w:val="0"/>
          <w:color w:val="262626"/>
          <w:sz w:val="20"/>
        </w:rPr>
        <w:t xml:space="preserve">Zero-Lux Darkness: </w:t>
      </w:r>
      <w:r>
        <w:rPr>
          <w:rFonts w:ascii="Times New Roman" w:hAnsi="Times New Roman"/>
          <w:b w:val="0"/>
          <w:i w:val="0"/>
          <w:color w:val="262626"/>
          <w:sz w:val="20"/>
        </w:rPr>
        <w:t>In unlit rural roads where ambient luminance approaches absolute zero lux, visible-spectrum CMOS sensors record pure black (zero information entropy). Software histogram expansion cannot recover non-existent photons; active infrared illumination remains indispensable in such extreme environments.</w:t>
      </w:r>
    </w:p>
    <w:p>
      <w:pPr>
        <w:pStyle w:val="ListBullet"/>
        <w:spacing w:before="20" w:after="60" w:line="276" w:lineRule="auto"/>
        <w:jc w:val="both"/>
      </w:pPr>
      <w:r>
        <w:rPr>
          <w:rFonts w:ascii="Times New Roman" w:hAnsi="Times New Roman"/>
          <w:b/>
          <w:i w:val="0"/>
          <w:color w:val="262626"/>
          <w:sz w:val="20"/>
        </w:rPr>
        <w:t xml:space="preserve">Direct Headlight Glare: </w:t>
      </w:r>
      <w:r>
        <w:rPr>
          <w:rFonts w:ascii="Times New Roman" w:hAnsi="Times New Roman"/>
          <w:b w:val="0"/>
          <w:i w:val="0"/>
          <w:color w:val="262626"/>
          <w:sz w:val="20"/>
        </w:rPr>
        <w:t>High-beam headlights directed straight into the camera lens cause localized blooming and pixel saturation, temporarily blinding the plate recognition module.</w:t>
      </w:r>
    </w:p>
    <w:p>
      <w:pPr>
        <w:pStyle w:val="ListBullet"/>
        <w:spacing w:before="20" w:after="60" w:line="276" w:lineRule="auto"/>
        <w:jc w:val="both"/>
      </w:pPr>
      <w:r>
        <w:rPr>
          <w:rFonts w:ascii="Times New Roman" w:hAnsi="Times New Roman"/>
          <w:b/>
          <w:i w:val="0"/>
          <w:color w:val="262626"/>
          <w:sz w:val="20"/>
        </w:rPr>
        <w:t xml:space="preserve">Extreme Traffic Density: </w:t>
      </w:r>
      <w:r>
        <w:rPr>
          <w:rFonts w:ascii="Times New Roman" w:hAnsi="Times New Roman"/>
          <w:b w:val="0"/>
          <w:i w:val="0"/>
          <w:color w:val="262626"/>
          <w:sz w:val="20"/>
        </w:rPr>
        <w:t>In extreme traffic gridlock where vehicles overlap within 10–20 cm of each other, 2D planar IoP association can occasionally conflate riders on adjacent vehicles.</w:t>
      </w:r>
    </w:p>
    <w:p>
      <w:pPr>
        <w:keepNext/>
        <w:spacing w:before="200" w:after="60"/>
      </w:pPr>
      <w:r>
        <w:rPr>
          <w:rFonts w:ascii="Times New Roman" w:hAnsi="Times New Roman"/>
          <w:b/>
          <w:i/>
          <w:color w:val="2E5B82"/>
          <w:sz w:val="21"/>
        </w:rPr>
        <w:t>B. Ethical and Privacy Considerations</w:t>
      </w:r>
    </w:p>
    <w:p>
      <w:pPr>
        <w:spacing w:before="0" w:after="80" w:line="276" w:lineRule="auto"/>
        <w:jc w:val="both"/>
      </w:pPr>
      <w:r>
        <w:rPr>
          <w:rFonts w:ascii="Times New Roman" w:hAnsi="Times New Roman"/>
          <w:b w:val="0"/>
          <w:i w:val="0"/>
          <w:color w:val="262626"/>
          <w:sz w:val="20"/>
        </w:rPr>
        <w:t>Automated traffic surveillance systems inherently intersect with citizen privacy rights. To comply with data privacy principles (such as India's Digital Personal Data Protection Act): (1) Evidentiary imagery is restricted to public thoroughfares where there is no reasonable expectation of privacy; (2) Data access is cryptographically restricted via role-based MySQL authentication; (3) Non-violating footage is discarded immediately from memory without persistence; and (4) The system functions as a decision-support tool where automated infraction logs undergo secondary human verification before penal challans are formally dispatched.</w:t>
      </w:r>
    </w:p>
    <w:p>
      <w:pPr>
        <w:keepNext/>
        <w:spacing w:before="200" w:after="60"/>
      </w:pPr>
      <w:r>
        <w:rPr>
          <w:rFonts w:ascii="Times New Roman" w:hAnsi="Times New Roman"/>
          <w:b/>
          <w:i/>
          <w:color w:val="2E5B82"/>
          <w:sz w:val="21"/>
        </w:rPr>
        <w:t>C. Roadmap for Future Enhancements</w:t>
      </w:r>
    </w:p>
    <w:p>
      <w:pPr>
        <w:spacing w:before="0" w:after="80" w:line="276" w:lineRule="auto"/>
        <w:jc w:val="both"/>
      </w:pPr>
      <w:r>
        <w:rPr>
          <w:rFonts w:ascii="Times New Roman" w:hAnsi="Times New Roman"/>
          <w:b w:val="0"/>
          <w:i w:val="0"/>
          <w:color w:val="262626"/>
          <w:sz w:val="20"/>
        </w:rPr>
        <w:t>Building upon the successful Review 2 prototype, the development roadmap encompasses three principal architectural expansions:</w:t>
      </w:r>
    </w:p>
    <w:p>
      <w:pPr>
        <w:pStyle w:val="ListBullet"/>
        <w:spacing w:before="20" w:after="60" w:line="276" w:lineRule="auto"/>
        <w:jc w:val="both"/>
      </w:pPr>
      <w:r>
        <w:rPr>
          <w:rFonts w:ascii="Times New Roman" w:hAnsi="Times New Roman"/>
          <w:b/>
          <w:i w:val="0"/>
          <w:color w:val="262626"/>
          <w:sz w:val="20"/>
        </w:rPr>
        <w:t xml:space="preserve">Speed Estimation via Optical Flow: </w:t>
      </w:r>
      <w:r>
        <w:rPr>
          <w:rFonts w:ascii="Times New Roman" w:hAnsi="Times New Roman"/>
          <w:b w:val="0"/>
          <w:i w:val="0"/>
          <w:color w:val="262626"/>
          <w:sz w:val="20"/>
        </w:rPr>
        <w:t>Integrating dual-frame homography perspective transformation to compute instantaneous vehicle velocity, flagging over-speeding infractions alongside helmet and passenger violations.</w:t>
      </w:r>
    </w:p>
    <w:p>
      <w:pPr>
        <w:pStyle w:val="ListBullet"/>
        <w:spacing w:before="20" w:after="60" w:line="276" w:lineRule="auto"/>
        <w:jc w:val="both"/>
      </w:pPr>
      <w:r>
        <w:rPr>
          <w:rFonts w:ascii="Times New Roman" w:hAnsi="Times New Roman"/>
          <w:b/>
          <w:i w:val="0"/>
          <w:color w:val="262626"/>
          <w:sz w:val="20"/>
        </w:rPr>
        <w:t xml:space="preserve">Traffic Signal Jumping Auditing: </w:t>
      </w:r>
      <w:r>
        <w:rPr>
          <w:rFonts w:ascii="Times New Roman" w:hAnsi="Times New Roman"/>
          <w:b w:val="0"/>
          <w:i w:val="0"/>
          <w:color w:val="262626"/>
          <w:sz w:val="20"/>
        </w:rPr>
        <w:t>Synchronizing the detection pipeline with traffic signal phase controllers to flag automated red-light intersection jumps.</w:t>
      </w:r>
    </w:p>
    <w:p>
      <w:pPr>
        <w:pStyle w:val="ListBullet"/>
        <w:spacing w:before="20" w:after="60" w:line="276" w:lineRule="auto"/>
        <w:jc w:val="both"/>
      </w:pPr>
      <w:r>
        <w:rPr>
          <w:rFonts w:ascii="Times New Roman" w:hAnsi="Times New Roman"/>
          <w:b/>
          <w:i w:val="0"/>
          <w:color w:val="262626"/>
          <w:sz w:val="20"/>
        </w:rPr>
        <w:t xml:space="preserve">Embedded Hardware Deployment: </w:t>
      </w:r>
      <w:r>
        <w:rPr>
          <w:rFonts w:ascii="Times New Roman" w:hAnsi="Times New Roman"/>
          <w:b w:val="0"/>
          <w:i w:val="0"/>
          <w:color w:val="262626"/>
          <w:sz w:val="20"/>
        </w:rPr>
        <w:t>Porting PyTorch weights to TensorRT INT8 engines for embedded deployment on NVIDIA Jetson Orin Nano hardware at urban intersections.</w:t>
      </w:r>
    </w:p>
    <w:p>
      <w:pPr>
        <w:keepNext/>
        <w:spacing w:before="280" w:after="80"/>
      </w:pPr>
      <w:r>
        <w:rPr>
          <w:rFonts w:ascii="Times New Roman" w:hAnsi="Times New Roman"/>
          <w:b/>
          <w:i w:val="0"/>
          <w:color w:val="1F3864"/>
          <w:sz w:val="24"/>
        </w:rPr>
        <w:t>REFERENCES</w:t>
      </w:r>
    </w:p>
    <w:p>
      <w:pPr>
        <w:spacing w:before="20" w:after="60" w:line="264" w:lineRule="auto"/>
        <w:jc w:val="both"/>
      </w:pPr>
      <w:r>
        <w:rPr>
          <w:rFonts w:ascii="Times New Roman" w:hAnsi="Times New Roman"/>
          <w:b w:val="0"/>
          <w:i w:val="0"/>
          <w:color w:val="262626"/>
          <w:sz w:val="17"/>
        </w:rPr>
        <w:t>[1] Ministry of Road Transport and Highways (MoRTH), 'Road Accidents in India 2022,' Government of India Transport Research Wing, New Delhi, Official Report, 2023.</w:t>
      </w:r>
    </w:p>
    <w:p>
      <w:pPr>
        <w:spacing w:before="20" w:after="60" w:line="264" w:lineRule="auto"/>
        <w:jc w:val="both"/>
      </w:pPr>
      <w:r>
        <w:rPr>
          <w:rFonts w:ascii="Times New Roman" w:hAnsi="Times New Roman"/>
          <w:b w:val="0"/>
          <w:i w:val="0"/>
          <w:color w:val="262626"/>
          <w:sz w:val="17"/>
        </w:rPr>
        <w:t>[2] G. Jocher, A. Chaurasia, and J. Qiu, 'Ultralytics YOLOv8,' Version 8.4.158, GitHub repository, 2023. [Online]. Available: https://github.com/ultralytics/ultralytics</w:t>
      </w:r>
    </w:p>
    <w:p>
      <w:pPr>
        <w:spacing w:before="20" w:after="60" w:line="264" w:lineRule="auto"/>
        <w:jc w:val="both"/>
      </w:pPr>
      <w:r>
        <w:rPr>
          <w:rFonts w:ascii="Times New Roman" w:hAnsi="Times New Roman"/>
          <w:b w:val="0"/>
          <w:i w:val="0"/>
          <w:color w:val="262626"/>
          <w:sz w:val="17"/>
        </w:rPr>
        <w:t>[3] Y. Zhang, P. Sun, Y. Jiang, D. Yu, F. Weng, Z. Yuan, P. Luo, W. Liu, and X. Wang, 'ByteTrack: Multi-Object Tracking by Associating Every Detection Box,' in Proc. European Conference on Computer Vision (ECCV), Springer, pp. 1-21, 2022.</w:t>
      </w:r>
    </w:p>
    <w:p>
      <w:pPr>
        <w:spacing w:before="20" w:after="60" w:line="264" w:lineRule="auto"/>
        <w:jc w:val="both"/>
      </w:pPr>
      <w:r>
        <w:rPr>
          <w:rFonts w:ascii="Times New Roman" w:hAnsi="Times New Roman"/>
          <w:b w:val="0"/>
          <w:i w:val="0"/>
          <w:color w:val="262626"/>
          <w:sz w:val="17"/>
        </w:rPr>
        <w:t>[4] K. Zuiderveld, 'Contrast Limited Adaptive Histogram Equalization,' in Graphics Gems IV, P. S. Heckbert, Ed., San Diego, CA: Academic Press, pp. 474-485, 1994.</w:t>
      </w:r>
    </w:p>
    <w:p>
      <w:pPr>
        <w:spacing w:before="20" w:after="60" w:line="264" w:lineRule="auto"/>
        <w:jc w:val="both"/>
      </w:pPr>
      <w:r>
        <w:rPr>
          <w:rFonts w:ascii="Times New Roman" w:hAnsi="Times New Roman"/>
          <w:b w:val="0"/>
          <w:i w:val="0"/>
          <w:color w:val="262626"/>
          <w:sz w:val="17"/>
        </w:rPr>
        <w:t>[5] JaidedAI, 'EasyOCR: Ready-to-use Optical Character Recognition with Deep Learning,' GitHub repository, 2020. [Online]. Available: https://github.com/JaidedAI/EasyOCR</w:t>
      </w:r>
    </w:p>
    <w:p>
      <w:pPr>
        <w:spacing w:before="20" w:after="60" w:line="264" w:lineRule="auto"/>
        <w:jc w:val="both"/>
      </w:pPr>
      <w:r>
        <w:rPr>
          <w:rFonts w:ascii="Times New Roman" w:hAnsi="Times New Roman"/>
          <w:b w:val="0"/>
          <w:i w:val="0"/>
          <w:color w:val="262626"/>
          <w:sz w:val="17"/>
        </w:rPr>
        <w:t>[6] G. Bradski, 'The OpenCV Library,' Dr. Dobb's Journal of Software Tools, vol. 25, no. 11, pp. 120-125, 2000.</w:t>
      </w:r>
    </w:p>
    <w:p>
      <w:pPr>
        <w:spacing w:before="20" w:after="60" w:line="264" w:lineRule="auto"/>
        <w:jc w:val="both"/>
      </w:pPr>
      <w:r>
        <w:rPr>
          <w:rFonts w:ascii="Times New Roman" w:hAnsi="Times New Roman"/>
          <w:b w:val="0"/>
          <w:i w:val="0"/>
          <w:color w:val="262626"/>
          <w:sz w:val="17"/>
        </w:rPr>
        <w:t>[7] A. Paszke et al., 'PyTorch: An Imperative Style, High-Performance Deep Learning Library,' in Advances in Neural Information Processing Systems (NeurIPS), vol. 32, pp. 8024-8035, 2019.</w:t>
      </w:r>
    </w:p>
    <w:p>
      <w:pPr>
        <w:spacing w:before="20" w:after="60" w:line="264" w:lineRule="auto"/>
        <w:jc w:val="both"/>
      </w:pPr>
      <w:r>
        <w:rPr>
          <w:rFonts w:ascii="Times New Roman" w:hAnsi="Times New Roman"/>
          <w:b w:val="0"/>
          <w:i w:val="0"/>
          <w:color w:val="262626"/>
          <w:sz w:val="17"/>
        </w:rPr>
        <w:t>[8] Roboflow Universe, 'Helmet Detection Using YOLOv8 Dataset,' Project helmet-detection-using-yolo-v8-r4rgl, 2023. [Online]. Available: https://universe.roboflow.com</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