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01C96" w14:textId="77777777" w:rsidR="00A53C76" w:rsidRPr="00A40353" w:rsidRDefault="00A40353">
      <w:pPr>
        <w:pStyle w:val="Heading1"/>
        <w:spacing w:after="120"/>
        <w:rPr>
          <w:color w:val="000000" w:themeColor="text1"/>
        </w:rPr>
      </w:pPr>
      <w:r w:rsidRPr="00A40353">
        <w:rPr>
          <w:b/>
          <w:bCs/>
          <w:color w:val="000000" w:themeColor="text1"/>
          <w:sz w:val="34"/>
          <w:szCs w:val="34"/>
        </w:rPr>
        <w:t>Survey</w:t>
      </w:r>
      <w:r>
        <w:rPr>
          <w:b/>
          <w:bCs/>
          <w:color w:val="000000" w:themeColor="text1"/>
          <w:sz w:val="34"/>
          <w:szCs w:val="34"/>
        </w:rPr>
        <w:t xml:space="preserve"> </w:t>
      </w:r>
      <w:r w:rsidRPr="00A40353">
        <w:rPr>
          <w:b/>
          <w:bCs/>
          <w:color w:val="000000" w:themeColor="text1"/>
          <w:sz w:val="34"/>
          <w:szCs w:val="34"/>
        </w:rPr>
        <w:t>Dataset Description</w:t>
      </w:r>
    </w:p>
    <w:p w14:paraId="6CD57145" w14:textId="77777777" w:rsidR="00A53C76" w:rsidRPr="00A40353" w:rsidRDefault="00A40353">
      <w:pPr>
        <w:spacing w:after="200"/>
        <w:rPr>
          <w:color w:val="000000" w:themeColor="text1"/>
        </w:rPr>
      </w:pPr>
      <w:r w:rsidRPr="00A40353">
        <w:rPr>
          <w:color w:val="000000" w:themeColor="text1"/>
          <w:sz w:val="22"/>
          <w:szCs w:val="22"/>
        </w:rPr>
        <w:t>Nomophobia Survey Dataset among Physiotherapy Students</w:t>
      </w:r>
    </w:p>
    <w:p w14:paraId="5367488B" w14:textId="39F7F7E8" w:rsidR="00A40353" w:rsidRDefault="00D468F8">
      <w:pPr>
        <w:pStyle w:val="Heading2"/>
        <w:spacing w:before="120" w:after="120"/>
        <w:rPr>
          <w:b/>
          <w:bCs/>
          <w:color w:val="000000" w:themeColor="text1"/>
        </w:rPr>
      </w:pPr>
      <w:bookmarkStart w:id="0" w:name="_GoBack"/>
      <w:bookmarkEnd w:id="0"/>
      <w:r>
        <w:rPr>
          <w:b/>
          <w:bCs/>
          <w:color w:val="000000" w:themeColor="text1"/>
        </w:rPr>
        <w:t xml:space="preserve"> </w:t>
      </w:r>
    </w:p>
    <w:p w14:paraId="3C56ECAA" w14:textId="77777777" w:rsidR="00A53C76" w:rsidRPr="00A40353" w:rsidRDefault="00A40353">
      <w:pPr>
        <w:pStyle w:val="Heading2"/>
        <w:spacing w:before="120" w:after="120"/>
        <w:rPr>
          <w:color w:val="000000" w:themeColor="text1"/>
        </w:rPr>
      </w:pPr>
      <w:r w:rsidRPr="00A40353">
        <w:rPr>
          <w:b/>
          <w:bCs/>
          <w:color w:val="000000" w:themeColor="text1"/>
        </w:rPr>
        <w:t>Dataset Characteristics</w:t>
      </w:r>
    </w:p>
    <w:p w14:paraId="6DC20C5F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b/>
          <w:bCs/>
          <w:color w:val="000000" w:themeColor="text1"/>
          <w:sz w:val="21"/>
          <w:szCs w:val="21"/>
        </w:rPr>
        <w:t xml:space="preserve">Instances: </w:t>
      </w:r>
      <w:r w:rsidRPr="00A40353">
        <w:rPr>
          <w:color w:val="000000" w:themeColor="text1"/>
          <w:sz w:val="21"/>
          <w:szCs w:val="21"/>
        </w:rPr>
        <w:t>255</w:t>
      </w:r>
    </w:p>
    <w:p w14:paraId="486197D1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b/>
          <w:bCs/>
          <w:color w:val="000000" w:themeColor="text1"/>
          <w:sz w:val="21"/>
          <w:szCs w:val="21"/>
        </w:rPr>
        <w:t xml:space="preserve">Variables: </w:t>
      </w:r>
      <w:r w:rsidRPr="00A40353">
        <w:rPr>
          <w:color w:val="000000" w:themeColor="text1"/>
          <w:sz w:val="21"/>
          <w:szCs w:val="21"/>
        </w:rPr>
        <w:t>8 (7 features, 1 target)</w:t>
      </w:r>
    </w:p>
    <w:p w14:paraId="6309F7C7" w14:textId="77777777" w:rsidR="00A53C76" w:rsidRPr="00A40353" w:rsidRDefault="00A40353">
      <w:pPr>
        <w:pStyle w:val="Heading2"/>
        <w:spacing w:before="120" w:after="160"/>
        <w:rPr>
          <w:color w:val="000000" w:themeColor="text1"/>
        </w:rPr>
      </w:pPr>
      <w:r w:rsidRPr="00A40353">
        <w:rPr>
          <w:b/>
          <w:bCs/>
          <w:color w:val="000000" w:themeColor="text1"/>
        </w:rPr>
        <w:t>Variables Table</w:t>
      </w:r>
    </w:p>
    <w:tbl>
      <w:tblPr>
        <w:tblStyle w:val="TableGridLight"/>
        <w:tblW w:w="10900" w:type="dxa"/>
        <w:tblLook w:val="04A0" w:firstRow="1" w:lastRow="0" w:firstColumn="1" w:lastColumn="0" w:noHBand="0" w:noVBand="1"/>
      </w:tblPr>
      <w:tblGrid>
        <w:gridCol w:w="1524"/>
        <w:gridCol w:w="1062"/>
        <w:gridCol w:w="1323"/>
        <w:gridCol w:w="1603"/>
        <w:gridCol w:w="3131"/>
        <w:gridCol w:w="1022"/>
        <w:gridCol w:w="1235"/>
      </w:tblGrid>
      <w:tr w:rsidR="00A40353" w:rsidRPr="00F51680" w14:paraId="172BB1E9" w14:textId="77777777" w:rsidTr="00F51680">
        <w:tc>
          <w:tcPr>
            <w:tcW w:w="1300" w:type="dxa"/>
          </w:tcPr>
          <w:p w14:paraId="107378BE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b/>
                <w:bCs/>
                <w:color w:val="000000" w:themeColor="text1"/>
                <w:sz w:val="24"/>
                <w:szCs w:val="24"/>
              </w:rPr>
              <w:t>Variable Name</w:t>
            </w:r>
          </w:p>
        </w:tc>
        <w:tc>
          <w:tcPr>
            <w:tcW w:w="1100" w:type="dxa"/>
          </w:tcPr>
          <w:p w14:paraId="38EBD6A2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b/>
                <w:bCs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1300" w:type="dxa"/>
          </w:tcPr>
          <w:p w14:paraId="4A95D4E0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1200" w:type="dxa"/>
          </w:tcPr>
          <w:p w14:paraId="71146EE9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b/>
                <w:bCs/>
                <w:color w:val="000000" w:themeColor="text1"/>
                <w:sz w:val="24"/>
                <w:szCs w:val="24"/>
              </w:rPr>
              <w:t>Demographic</w:t>
            </w:r>
          </w:p>
        </w:tc>
        <w:tc>
          <w:tcPr>
            <w:tcW w:w="3600" w:type="dxa"/>
          </w:tcPr>
          <w:p w14:paraId="37EFE32C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100" w:type="dxa"/>
          </w:tcPr>
          <w:p w14:paraId="08EAD2A6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b/>
                <w:bCs/>
                <w:color w:val="000000" w:themeColor="text1"/>
                <w:sz w:val="24"/>
                <w:szCs w:val="24"/>
              </w:rPr>
              <w:t>Units</w:t>
            </w:r>
          </w:p>
        </w:tc>
        <w:tc>
          <w:tcPr>
            <w:tcW w:w="1300" w:type="dxa"/>
          </w:tcPr>
          <w:p w14:paraId="339FDE9B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b/>
                <w:bCs/>
                <w:color w:val="000000" w:themeColor="text1"/>
                <w:sz w:val="24"/>
                <w:szCs w:val="24"/>
              </w:rPr>
              <w:t>Missing Values</w:t>
            </w:r>
          </w:p>
        </w:tc>
      </w:tr>
      <w:tr w:rsidR="00A40353" w:rsidRPr="00F51680" w14:paraId="31C87A4F" w14:textId="77777777" w:rsidTr="00F51680">
        <w:tc>
          <w:tcPr>
            <w:tcW w:w="1300" w:type="dxa"/>
          </w:tcPr>
          <w:p w14:paraId="0254E3B5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1100" w:type="dxa"/>
          </w:tcPr>
          <w:p w14:paraId="0DB042BD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300" w:type="dxa"/>
          </w:tcPr>
          <w:p w14:paraId="3DFD180A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1200" w:type="dxa"/>
          </w:tcPr>
          <w:p w14:paraId="31901E23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Age</w:t>
            </w:r>
          </w:p>
        </w:tc>
        <w:tc>
          <w:tcPr>
            <w:tcW w:w="3600" w:type="dxa"/>
          </w:tcPr>
          <w:p w14:paraId="00E0EAC7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Age of respondent (range 16–27)</w:t>
            </w:r>
          </w:p>
        </w:tc>
        <w:tc>
          <w:tcPr>
            <w:tcW w:w="1100" w:type="dxa"/>
          </w:tcPr>
          <w:p w14:paraId="4F9B8166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years</w:t>
            </w:r>
          </w:p>
        </w:tc>
        <w:tc>
          <w:tcPr>
            <w:tcW w:w="1300" w:type="dxa"/>
          </w:tcPr>
          <w:p w14:paraId="1BC00D3C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A40353" w:rsidRPr="00F51680" w14:paraId="576B6FFB" w14:textId="77777777" w:rsidTr="00F51680">
        <w:tc>
          <w:tcPr>
            <w:tcW w:w="1300" w:type="dxa"/>
          </w:tcPr>
          <w:p w14:paraId="7308F56C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Gender</w:t>
            </w:r>
          </w:p>
        </w:tc>
        <w:tc>
          <w:tcPr>
            <w:tcW w:w="1100" w:type="dxa"/>
          </w:tcPr>
          <w:p w14:paraId="39BC3070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300" w:type="dxa"/>
          </w:tcPr>
          <w:p w14:paraId="039B0A70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Categorical</w:t>
            </w:r>
          </w:p>
        </w:tc>
        <w:tc>
          <w:tcPr>
            <w:tcW w:w="1200" w:type="dxa"/>
          </w:tcPr>
          <w:p w14:paraId="6DEC24AE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Sex</w:t>
            </w:r>
          </w:p>
        </w:tc>
        <w:tc>
          <w:tcPr>
            <w:tcW w:w="3600" w:type="dxa"/>
          </w:tcPr>
          <w:p w14:paraId="174817AE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Male / Female</w:t>
            </w:r>
          </w:p>
        </w:tc>
        <w:tc>
          <w:tcPr>
            <w:tcW w:w="1100" w:type="dxa"/>
          </w:tcPr>
          <w:p w14:paraId="43C13A6A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300" w:type="dxa"/>
          </w:tcPr>
          <w:p w14:paraId="66EAC3EE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A40353" w:rsidRPr="00F51680" w14:paraId="5284E80D" w14:textId="77777777" w:rsidTr="00F51680">
        <w:tc>
          <w:tcPr>
            <w:tcW w:w="1300" w:type="dxa"/>
          </w:tcPr>
          <w:p w14:paraId="4FB3C6F3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Location</w:t>
            </w:r>
          </w:p>
        </w:tc>
        <w:tc>
          <w:tcPr>
            <w:tcW w:w="1100" w:type="dxa"/>
          </w:tcPr>
          <w:p w14:paraId="3EE43F27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300" w:type="dxa"/>
          </w:tcPr>
          <w:p w14:paraId="5557A411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Categorical</w:t>
            </w:r>
          </w:p>
        </w:tc>
        <w:tc>
          <w:tcPr>
            <w:tcW w:w="1200" w:type="dxa"/>
          </w:tcPr>
          <w:p w14:paraId="1E3E0568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600" w:type="dxa"/>
          </w:tcPr>
          <w:p w14:paraId="4C622978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State of residence (Bihar, Haryana, Himachal Pradesh, Jharkhand, Karnataka, Madhya Pradesh, Maharashtra, Punjab, Rajasthan)</w:t>
            </w:r>
          </w:p>
        </w:tc>
        <w:tc>
          <w:tcPr>
            <w:tcW w:w="1100" w:type="dxa"/>
          </w:tcPr>
          <w:p w14:paraId="6CDDAD65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300" w:type="dxa"/>
          </w:tcPr>
          <w:p w14:paraId="0F51DC81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A40353" w:rsidRPr="00F51680" w14:paraId="618DA04B" w14:textId="77777777" w:rsidTr="00F51680">
        <w:tc>
          <w:tcPr>
            <w:tcW w:w="1300" w:type="dxa"/>
          </w:tcPr>
          <w:p w14:paraId="4FC7147C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Academic Level</w:t>
            </w:r>
          </w:p>
        </w:tc>
        <w:tc>
          <w:tcPr>
            <w:tcW w:w="1100" w:type="dxa"/>
          </w:tcPr>
          <w:p w14:paraId="2369CA1E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300" w:type="dxa"/>
          </w:tcPr>
          <w:p w14:paraId="2C7B980C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Categorical</w:t>
            </w:r>
          </w:p>
        </w:tc>
        <w:tc>
          <w:tcPr>
            <w:tcW w:w="1200" w:type="dxa"/>
          </w:tcPr>
          <w:p w14:paraId="1C84D236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600" w:type="dxa"/>
          </w:tcPr>
          <w:p w14:paraId="2E8130E5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Current academic year/program (BPT 1st–4th year, Internship, MPT 1st–2nd year)</w:t>
            </w:r>
          </w:p>
        </w:tc>
        <w:tc>
          <w:tcPr>
            <w:tcW w:w="1100" w:type="dxa"/>
          </w:tcPr>
          <w:p w14:paraId="2D3D7B6A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300" w:type="dxa"/>
          </w:tcPr>
          <w:p w14:paraId="2AB44A28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A40353" w:rsidRPr="00F51680" w14:paraId="0B2BC088" w14:textId="77777777" w:rsidTr="00F51680">
        <w:tc>
          <w:tcPr>
            <w:tcW w:w="1300" w:type="dxa"/>
          </w:tcPr>
          <w:p w14:paraId="114B4D31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NMPQ</w:t>
            </w:r>
          </w:p>
        </w:tc>
        <w:tc>
          <w:tcPr>
            <w:tcW w:w="1100" w:type="dxa"/>
          </w:tcPr>
          <w:p w14:paraId="10DD1284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300" w:type="dxa"/>
          </w:tcPr>
          <w:p w14:paraId="0C1C10E5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1200" w:type="dxa"/>
          </w:tcPr>
          <w:p w14:paraId="2BC0EAD9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600" w:type="dxa"/>
          </w:tcPr>
          <w:p w14:paraId="22FE4F84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Nomophobia Questionnaire score</w:t>
            </w:r>
          </w:p>
        </w:tc>
        <w:tc>
          <w:tcPr>
            <w:tcW w:w="1100" w:type="dxa"/>
          </w:tcPr>
          <w:p w14:paraId="113D35C6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score (17–140)</w:t>
            </w:r>
          </w:p>
        </w:tc>
        <w:tc>
          <w:tcPr>
            <w:tcW w:w="1300" w:type="dxa"/>
          </w:tcPr>
          <w:p w14:paraId="7444B6F5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A40353" w:rsidRPr="00F51680" w14:paraId="701BE984" w14:textId="77777777" w:rsidTr="00F51680">
        <w:tc>
          <w:tcPr>
            <w:tcW w:w="1300" w:type="dxa"/>
          </w:tcPr>
          <w:p w14:paraId="2885C7B2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51680">
              <w:rPr>
                <w:color w:val="000000" w:themeColor="text1"/>
                <w:sz w:val="24"/>
                <w:szCs w:val="24"/>
              </w:rPr>
              <w:t>Selfesteem</w:t>
            </w:r>
            <w:proofErr w:type="spellEnd"/>
          </w:p>
        </w:tc>
        <w:tc>
          <w:tcPr>
            <w:tcW w:w="1100" w:type="dxa"/>
          </w:tcPr>
          <w:p w14:paraId="2F4ACA89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300" w:type="dxa"/>
          </w:tcPr>
          <w:p w14:paraId="6348BF90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1200" w:type="dxa"/>
          </w:tcPr>
          <w:p w14:paraId="78E9D053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600" w:type="dxa"/>
          </w:tcPr>
          <w:p w14:paraId="3CE9F843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Self-esteem scale score</w:t>
            </w:r>
          </w:p>
        </w:tc>
        <w:tc>
          <w:tcPr>
            <w:tcW w:w="1100" w:type="dxa"/>
          </w:tcPr>
          <w:p w14:paraId="76E602C5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score (9–22)</w:t>
            </w:r>
          </w:p>
        </w:tc>
        <w:tc>
          <w:tcPr>
            <w:tcW w:w="1300" w:type="dxa"/>
          </w:tcPr>
          <w:p w14:paraId="71053700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A40353" w:rsidRPr="00F51680" w14:paraId="459277D3" w14:textId="77777777" w:rsidTr="00F51680">
        <w:tc>
          <w:tcPr>
            <w:tcW w:w="1300" w:type="dxa"/>
          </w:tcPr>
          <w:p w14:paraId="79DA6A28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51680">
              <w:rPr>
                <w:color w:val="000000" w:themeColor="text1"/>
                <w:sz w:val="24"/>
                <w:szCs w:val="24"/>
              </w:rPr>
              <w:t>Socialanxiety</w:t>
            </w:r>
            <w:proofErr w:type="spellEnd"/>
          </w:p>
        </w:tc>
        <w:tc>
          <w:tcPr>
            <w:tcW w:w="1100" w:type="dxa"/>
          </w:tcPr>
          <w:p w14:paraId="4B276E73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300" w:type="dxa"/>
          </w:tcPr>
          <w:p w14:paraId="42C51D99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1200" w:type="dxa"/>
          </w:tcPr>
          <w:p w14:paraId="1F0D5F09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600" w:type="dxa"/>
          </w:tcPr>
          <w:p w14:paraId="5F0397B0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Social anxiety scale score</w:t>
            </w:r>
          </w:p>
        </w:tc>
        <w:tc>
          <w:tcPr>
            <w:tcW w:w="1100" w:type="dxa"/>
          </w:tcPr>
          <w:p w14:paraId="27DF165A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score (16–80)</w:t>
            </w:r>
          </w:p>
        </w:tc>
        <w:tc>
          <w:tcPr>
            <w:tcW w:w="1300" w:type="dxa"/>
          </w:tcPr>
          <w:p w14:paraId="34694540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A40353" w:rsidRPr="00F51680" w14:paraId="463A0296" w14:textId="77777777" w:rsidTr="00F51680">
        <w:tc>
          <w:tcPr>
            <w:tcW w:w="1300" w:type="dxa"/>
          </w:tcPr>
          <w:p w14:paraId="1F0BAFBF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Class</w:t>
            </w:r>
          </w:p>
        </w:tc>
        <w:tc>
          <w:tcPr>
            <w:tcW w:w="1100" w:type="dxa"/>
          </w:tcPr>
          <w:p w14:paraId="1E6200EA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Target</w:t>
            </w:r>
          </w:p>
        </w:tc>
        <w:tc>
          <w:tcPr>
            <w:tcW w:w="1300" w:type="dxa"/>
          </w:tcPr>
          <w:p w14:paraId="30C9D246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Categorical</w:t>
            </w:r>
          </w:p>
        </w:tc>
        <w:tc>
          <w:tcPr>
            <w:tcW w:w="1200" w:type="dxa"/>
          </w:tcPr>
          <w:p w14:paraId="499482EC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3600" w:type="dxa"/>
          </w:tcPr>
          <w:p w14:paraId="616F7A1D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Nomophobia severity class (</w:t>
            </w:r>
            <w:proofErr w:type="spellStart"/>
            <w:r w:rsidRPr="00F51680">
              <w:rPr>
                <w:color w:val="000000" w:themeColor="text1"/>
                <w:sz w:val="24"/>
                <w:szCs w:val="24"/>
              </w:rPr>
              <w:t>NoNMP</w:t>
            </w:r>
            <w:proofErr w:type="spellEnd"/>
            <w:r w:rsidRPr="00F51680">
              <w:rPr>
                <w:color w:val="000000" w:themeColor="text1"/>
                <w:sz w:val="24"/>
                <w:szCs w:val="24"/>
              </w:rPr>
              <w:t>, Mild, Moderate, Severe)</w:t>
            </w:r>
          </w:p>
        </w:tc>
        <w:tc>
          <w:tcPr>
            <w:tcW w:w="1100" w:type="dxa"/>
          </w:tcPr>
          <w:p w14:paraId="0CAC9756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—</w:t>
            </w:r>
          </w:p>
        </w:tc>
        <w:tc>
          <w:tcPr>
            <w:tcW w:w="1300" w:type="dxa"/>
          </w:tcPr>
          <w:p w14:paraId="543667D4" w14:textId="77777777" w:rsidR="00A53C76" w:rsidRPr="00F51680" w:rsidRDefault="00A40353">
            <w:pPr>
              <w:rPr>
                <w:color w:val="000000" w:themeColor="text1"/>
                <w:sz w:val="24"/>
                <w:szCs w:val="24"/>
              </w:rPr>
            </w:pPr>
            <w:r w:rsidRPr="00F51680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</w:tbl>
    <w:p w14:paraId="3A8214C7" w14:textId="77777777" w:rsidR="00A53C76" w:rsidRPr="00A40353" w:rsidRDefault="00A40353">
      <w:pPr>
        <w:pStyle w:val="Heading2"/>
        <w:spacing w:before="320" w:after="120"/>
        <w:rPr>
          <w:color w:val="000000" w:themeColor="text1"/>
        </w:rPr>
      </w:pPr>
      <w:r w:rsidRPr="00A40353">
        <w:rPr>
          <w:b/>
          <w:bCs/>
          <w:color w:val="000000" w:themeColor="text1"/>
        </w:rPr>
        <w:t>Additional Variable Information</w:t>
      </w:r>
    </w:p>
    <w:p w14:paraId="2B63D96E" w14:textId="77777777" w:rsidR="00A53C76" w:rsidRPr="00A40353" w:rsidRDefault="00A40353">
      <w:pPr>
        <w:spacing w:after="100"/>
        <w:rPr>
          <w:color w:val="000000" w:themeColor="text1"/>
        </w:rPr>
      </w:pPr>
      <w:r w:rsidRPr="00A40353">
        <w:rPr>
          <w:color w:val="000000" w:themeColor="text1"/>
          <w:sz w:val="21"/>
          <w:szCs w:val="21"/>
        </w:rPr>
        <w:t>8 attributes used:</w:t>
      </w:r>
    </w:p>
    <w:p w14:paraId="30992136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color w:val="000000" w:themeColor="text1"/>
          <w:sz w:val="21"/>
          <w:szCs w:val="21"/>
        </w:rPr>
        <w:t>1. Age</w:t>
      </w:r>
    </w:p>
    <w:p w14:paraId="7D9BDCB2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color w:val="000000" w:themeColor="text1"/>
          <w:sz w:val="21"/>
          <w:szCs w:val="21"/>
        </w:rPr>
        <w:t>2. Gender</w:t>
      </w:r>
    </w:p>
    <w:p w14:paraId="5F6E8ED3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color w:val="000000" w:themeColor="text1"/>
          <w:sz w:val="21"/>
          <w:szCs w:val="21"/>
        </w:rPr>
        <w:t>3. Location</w:t>
      </w:r>
    </w:p>
    <w:p w14:paraId="2F6A1FBA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color w:val="000000" w:themeColor="text1"/>
          <w:sz w:val="21"/>
          <w:szCs w:val="21"/>
        </w:rPr>
        <w:t>4. Academic Level</w:t>
      </w:r>
    </w:p>
    <w:p w14:paraId="154FEBB4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color w:val="000000" w:themeColor="text1"/>
          <w:sz w:val="21"/>
          <w:szCs w:val="21"/>
        </w:rPr>
        <w:t>5. NMPQ (Nomophobia Questionnaire score)</w:t>
      </w:r>
    </w:p>
    <w:p w14:paraId="361216A8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color w:val="000000" w:themeColor="text1"/>
          <w:sz w:val="21"/>
          <w:szCs w:val="21"/>
        </w:rPr>
        <w:t xml:space="preserve">6. </w:t>
      </w:r>
      <w:proofErr w:type="spellStart"/>
      <w:r w:rsidRPr="00A40353">
        <w:rPr>
          <w:color w:val="000000" w:themeColor="text1"/>
          <w:sz w:val="21"/>
          <w:szCs w:val="21"/>
        </w:rPr>
        <w:t>Selfesteem</w:t>
      </w:r>
      <w:proofErr w:type="spellEnd"/>
      <w:r w:rsidRPr="00A40353">
        <w:rPr>
          <w:color w:val="000000" w:themeColor="text1"/>
          <w:sz w:val="21"/>
          <w:szCs w:val="21"/>
        </w:rPr>
        <w:t xml:space="preserve"> (Self-esteem scale score)</w:t>
      </w:r>
    </w:p>
    <w:p w14:paraId="6EFC02B2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color w:val="000000" w:themeColor="text1"/>
          <w:sz w:val="21"/>
          <w:szCs w:val="21"/>
        </w:rPr>
        <w:t xml:space="preserve">7. </w:t>
      </w:r>
      <w:proofErr w:type="spellStart"/>
      <w:r w:rsidRPr="00A40353">
        <w:rPr>
          <w:color w:val="000000" w:themeColor="text1"/>
          <w:sz w:val="21"/>
          <w:szCs w:val="21"/>
        </w:rPr>
        <w:t>Socialanxiety</w:t>
      </w:r>
      <w:proofErr w:type="spellEnd"/>
      <w:r w:rsidRPr="00A40353">
        <w:rPr>
          <w:color w:val="000000" w:themeColor="text1"/>
          <w:sz w:val="21"/>
          <w:szCs w:val="21"/>
        </w:rPr>
        <w:t xml:space="preserve"> (Social anxiety scale score)</w:t>
      </w:r>
    </w:p>
    <w:p w14:paraId="5500546F" w14:textId="77777777" w:rsidR="00A53C76" w:rsidRPr="00A40353" w:rsidRDefault="00A40353">
      <w:pPr>
        <w:spacing w:after="60"/>
        <w:rPr>
          <w:color w:val="000000" w:themeColor="text1"/>
        </w:rPr>
      </w:pPr>
      <w:r w:rsidRPr="00A40353">
        <w:rPr>
          <w:color w:val="000000" w:themeColor="text1"/>
          <w:sz w:val="21"/>
          <w:szCs w:val="21"/>
        </w:rPr>
        <w:t>8. Class (target — nomophobia severity)</w:t>
      </w:r>
    </w:p>
    <w:sectPr w:rsidR="00A53C76" w:rsidRPr="00A403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B2173B"/>
    <w:multiLevelType w:val="hybridMultilevel"/>
    <w:tmpl w:val="E84AECFE"/>
    <w:lvl w:ilvl="0" w:tplc="808E70C2">
      <w:start w:val="1"/>
      <w:numFmt w:val="bullet"/>
      <w:lvlText w:val="●"/>
      <w:lvlJc w:val="left"/>
      <w:pPr>
        <w:ind w:left="720" w:hanging="360"/>
      </w:pPr>
    </w:lvl>
    <w:lvl w:ilvl="1" w:tplc="567E813A">
      <w:start w:val="1"/>
      <w:numFmt w:val="bullet"/>
      <w:lvlText w:val="○"/>
      <w:lvlJc w:val="left"/>
      <w:pPr>
        <w:ind w:left="1440" w:hanging="360"/>
      </w:pPr>
    </w:lvl>
    <w:lvl w:ilvl="2" w:tplc="29A8841C">
      <w:start w:val="1"/>
      <w:numFmt w:val="bullet"/>
      <w:lvlText w:val="■"/>
      <w:lvlJc w:val="left"/>
      <w:pPr>
        <w:ind w:left="2160" w:hanging="360"/>
      </w:pPr>
    </w:lvl>
    <w:lvl w:ilvl="3" w:tplc="B90EC24A">
      <w:start w:val="1"/>
      <w:numFmt w:val="bullet"/>
      <w:lvlText w:val="●"/>
      <w:lvlJc w:val="left"/>
      <w:pPr>
        <w:ind w:left="2880" w:hanging="360"/>
      </w:pPr>
    </w:lvl>
    <w:lvl w:ilvl="4" w:tplc="47222FF4">
      <w:start w:val="1"/>
      <w:numFmt w:val="bullet"/>
      <w:lvlText w:val="○"/>
      <w:lvlJc w:val="left"/>
      <w:pPr>
        <w:ind w:left="3600" w:hanging="360"/>
      </w:pPr>
    </w:lvl>
    <w:lvl w:ilvl="5" w:tplc="11C89432">
      <w:start w:val="1"/>
      <w:numFmt w:val="bullet"/>
      <w:lvlText w:val="■"/>
      <w:lvlJc w:val="left"/>
      <w:pPr>
        <w:ind w:left="4320" w:hanging="360"/>
      </w:pPr>
    </w:lvl>
    <w:lvl w:ilvl="6" w:tplc="AA6C6BF2">
      <w:start w:val="1"/>
      <w:numFmt w:val="bullet"/>
      <w:lvlText w:val="●"/>
      <w:lvlJc w:val="left"/>
      <w:pPr>
        <w:ind w:left="5040" w:hanging="360"/>
      </w:pPr>
    </w:lvl>
    <w:lvl w:ilvl="7" w:tplc="96BAF626">
      <w:start w:val="1"/>
      <w:numFmt w:val="bullet"/>
      <w:lvlText w:val="●"/>
      <w:lvlJc w:val="left"/>
      <w:pPr>
        <w:ind w:left="5760" w:hanging="360"/>
      </w:pPr>
    </w:lvl>
    <w:lvl w:ilvl="8" w:tplc="9D0423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3C76"/>
    <w:rsid w:val="009E619C"/>
    <w:rsid w:val="00A40353"/>
    <w:rsid w:val="00A53C76"/>
    <w:rsid w:val="00D468F8"/>
    <w:rsid w:val="00F5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05F2"/>
  <w15:docId w15:val="{A8F021CB-2093-4C93-BAB3-80202C5E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51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516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Windows User</cp:lastModifiedBy>
  <cp:revision>3</cp:revision>
  <dcterms:created xsi:type="dcterms:W3CDTF">2026-09-11T14:02:00Z</dcterms:created>
  <dcterms:modified xsi:type="dcterms:W3CDTF">2026-09-12T04:54:00Z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cb424199-fdb4-40b9-9991-d9bb02dc3504</vt:lpwstr>
  </property>
</Properties>
</file>