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70CBA475" w14:textId="7DFAA10E" w:rsidR="00ED1CE6" w:rsidRDefault="00B924E1" w:rsidP="008B6524">
      <w:pPr>
        <w:pStyle w:val="papertitle"/>
        <w:spacing w:before="5pt" w:beforeAutospacing="1" w:after="5pt" w:afterAutospacing="1"/>
        <w:rPr>
          <w:rFonts w:eastAsiaTheme="minorEastAsia"/>
          <w:kern w:val="48"/>
          <w:lang w:eastAsia="zh-CN"/>
        </w:rPr>
      </w:pPr>
      <w:r>
        <w:rPr>
          <w:rFonts w:eastAsiaTheme="minorEastAsia"/>
          <w:kern w:val="48"/>
          <w:lang w:eastAsia="zh-CN"/>
        </w:rPr>
        <w:t>USA Energy Consmption</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1F3E47DA" w14:textId="6C75BB44" w:rsidR="009303D9" w:rsidRPr="00AB7B44" w:rsidRDefault="009303D9" w:rsidP="008B6524">
      <w:pPr>
        <w:pStyle w:val="Author"/>
        <w:spacing w:before="5pt" w:beforeAutospacing="1" w:after="5pt" w:afterAutospacing="1"/>
        <w:rPr>
          <w:sz w:val="16"/>
          <w:szCs w:val="16"/>
          <w:lang w:eastAsia="zh-CN"/>
        </w:rPr>
      </w:pP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7B9E1C4E" w:rsidR="00BD670B" w:rsidRPr="00D97DD7" w:rsidRDefault="00B924E1" w:rsidP="00BD670B">
      <w:pPr>
        <w:pStyle w:val="Author"/>
        <w:spacing w:before="5pt" w:beforeAutospacing="1"/>
        <w:rPr>
          <w:sz w:val="18"/>
          <w:szCs w:val="18"/>
        </w:rPr>
      </w:pPr>
      <w:r>
        <w:rPr>
          <w:sz w:val="18"/>
          <w:szCs w:val="18"/>
        </w:rPr>
        <w:t>Daniel Tapia</w:t>
      </w:r>
      <w:r w:rsidR="001A3B3D" w:rsidRPr="00D97DD7">
        <w:rPr>
          <w:sz w:val="18"/>
          <w:szCs w:val="18"/>
        </w:rPr>
        <w:t xml:space="preserve"> </w:t>
      </w:r>
      <w:r w:rsidR="001A3B3D" w:rsidRPr="00D97DD7">
        <w:rPr>
          <w:sz w:val="18"/>
          <w:szCs w:val="18"/>
        </w:rPr>
        <w:br/>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517C9598" w:rsidR="004D72B5" w:rsidRPr="005144E0" w:rsidRDefault="009303D9" w:rsidP="00972203">
      <w:pPr>
        <w:pStyle w:val="Abstract"/>
        <w:rPr>
          <w:i/>
          <w:iCs/>
        </w:rPr>
      </w:pPr>
      <w:r w:rsidRPr="00D97DD7">
        <w:rPr>
          <w:i/>
          <w:iCs/>
        </w:rPr>
        <w:t>Abstract</w:t>
      </w:r>
      <w:r w:rsidRPr="00D97DD7">
        <w:t>—</w:t>
      </w:r>
      <w:r w:rsidR="00AB7B44" w:rsidRPr="00861DD0">
        <w:rPr>
          <w:b w:val="0"/>
          <w:bCs w:val="0"/>
        </w:rPr>
        <w:t xml:space="preserve">This project analyzes historical U.S. primary energy consumption from 1975 to 2024 across five major sectors: electric power, transportation, industrial, residential, and commercial. Time-series trend analysis is used to examine </w:t>
      </w:r>
      <w:r w:rsidR="005144E0" w:rsidRPr="00861DD0">
        <w:rPr>
          <w:b w:val="0"/>
          <w:bCs w:val="0"/>
        </w:rPr>
        <w:t xml:space="preserve">long-term changes. Sectoral growth rates are then evaluated to identify the fastest-growing sector. Finally, linear regression is applied to determine whether electric power consumption can be predicted using transportation energy consumption. </w:t>
      </w:r>
      <w:r w:rsidR="0042337C" w:rsidRPr="0042337C">
        <w:rPr>
          <w:b w:val="0"/>
          <w:bCs w:val="0"/>
        </w:rPr>
        <w:t>Total U.S. primary energy consumption exhibits a long-term increase across the observed period, followed by a phase of relative stabilization after 2008.</w:t>
      </w:r>
      <w:r w:rsidR="00413BB5" w:rsidRPr="0042337C">
        <w:rPr>
          <w:b w:val="0"/>
          <w:bCs w:val="0"/>
        </w:rPr>
        <w:t xml:space="preserve"> </w:t>
      </w:r>
      <w:r w:rsidR="00413BB5" w:rsidRPr="00861DD0">
        <w:rPr>
          <w:b w:val="0"/>
          <w:bCs w:val="0"/>
        </w:rPr>
        <w:t>The electric power sector exhibited the fastest growth rate, and a strong linear relationship was found between transportation and electric power consumption (R</w:t>
      </w:r>
      <w:r w:rsidR="0042337C">
        <w:rPr>
          <w:b w:val="0"/>
          <w:bCs w:val="0"/>
          <w:vertAlign w:val="superscript"/>
        </w:rPr>
        <w:t>2</w:t>
      </w:r>
      <w:r w:rsidR="00413BB5" w:rsidRPr="00861DD0">
        <w:rPr>
          <w:b w:val="0"/>
          <w:bCs w:val="0"/>
        </w:rPr>
        <w:t xml:space="preserve"> ≈ 0.</w:t>
      </w:r>
      <w:r w:rsidR="0042337C">
        <w:rPr>
          <w:b w:val="0"/>
          <w:bCs w:val="0"/>
        </w:rPr>
        <w:t>7</w:t>
      </w:r>
      <w:r w:rsidR="00413BB5" w:rsidRPr="00861DD0">
        <w:rPr>
          <w:b w:val="0"/>
          <w:bCs w:val="0"/>
        </w:rPr>
        <w:t>9), indicating significant predictive capability. These findings highlight the structural shift toward electrification in U.S. energy use.</w:t>
      </w:r>
    </w:p>
    <w:p w14:paraId="3F53BA43" w14:textId="727B7E3B" w:rsidR="009303D9" w:rsidRPr="00D97DD7" w:rsidRDefault="004D72B5" w:rsidP="00972203">
      <w:pPr>
        <w:pStyle w:val="Keywords"/>
      </w:pPr>
      <w:r w:rsidRPr="00D97DD7">
        <w:t>Keywords—</w:t>
      </w:r>
      <w:r w:rsidR="003A2D56">
        <w:t xml:space="preserve"> </w:t>
      </w:r>
      <w:r w:rsidR="00B83FFC">
        <w:rPr>
          <w:lang w:eastAsia="zh-CN"/>
        </w:rPr>
        <w:t>Energy</w:t>
      </w:r>
      <w:r w:rsidR="003A2D56">
        <w:rPr>
          <w:lang w:eastAsia="zh-CN"/>
        </w:rPr>
        <w:t xml:space="preserve"> Consumption</w:t>
      </w:r>
      <w:r w:rsidR="00D7522C" w:rsidRPr="00D97DD7">
        <w:t>,</w:t>
      </w:r>
      <w:r w:rsidR="009303D9" w:rsidRPr="00D97DD7">
        <w:t xml:space="preserve"> </w:t>
      </w:r>
      <w:r w:rsidR="003A2D56">
        <w:rPr>
          <w:lang w:eastAsia="zh-CN"/>
        </w:rPr>
        <w:t>Primary Energy</w:t>
      </w:r>
      <w:r w:rsidR="003A0E8D">
        <w:rPr>
          <w:rFonts w:hint="eastAsia"/>
          <w:lang w:eastAsia="zh-CN"/>
        </w:rPr>
        <w:t>,</w:t>
      </w:r>
      <w:r w:rsidR="009303D9" w:rsidRPr="00D97DD7">
        <w:t xml:space="preserve"> </w:t>
      </w:r>
      <w:r w:rsidR="003A2D56">
        <w:rPr>
          <w:lang w:eastAsia="zh-CN"/>
        </w:rPr>
        <w:t xml:space="preserve">Regression Analysis, </w:t>
      </w:r>
      <w:r w:rsidR="003A2D56" w:rsidRPr="00AB7B44">
        <w:rPr>
          <w:lang w:eastAsia="zh-CN"/>
        </w:rPr>
        <w:t>Sector</w:t>
      </w:r>
    </w:p>
    <w:p w14:paraId="0A1D62A0" w14:textId="77777777" w:rsidR="009303D9" w:rsidRPr="00D97DD7" w:rsidRDefault="009303D9" w:rsidP="006B6B66">
      <w:pPr>
        <w:pStyle w:val="Heading1"/>
      </w:pPr>
      <w:r w:rsidRPr="00D97DD7">
        <w:t>Introduction (</w:t>
      </w:r>
      <w:r w:rsidR="005B0344" w:rsidRPr="00D97DD7">
        <w:rPr>
          <w:rFonts w:eastAsia="MS Mincho"/>
          <w:i/>
        </w:rPr>
        <w:t>Heading 1</w:t>
      </w:r>
      <w:r w:rsidRPr="00D97DD7">
        <w:t>)</w:t>
      </w:r>
    </w:p>
    <w:p w14:paraId="4F2D8739" w14:textId="78CABB1D" w:rsidR="004D6F37" w:rsidRPr="00A468F9" w:rsidRDefault="00B6733E" w:rsidP="00B6733E">
      <w:pPr>
        <w:pStyle w:val="BodyText"/>
        <w:ind w:firstLine="0pt"/>
        <w:rPr>
          <w:lang w:val="en-US" w:eastAsia="zh-CN"/>
        </w:rPr>
      </w:pPr>
      <w:r w:rsidRPr="00A468F9">
        <w:rPr>
          <w:lang w:val="en-US" w:eastAsia="zh-CN"/>
        </w:rPr>
        <w:tab/>
      </w:r>
      <w:r w:rsidR="00B83FFC" w:rsidRPr="00A468F9">
        <w:rPr>
          <w:lang w:val="en-US" w:eastAsia="zh-CN"/>
        </w:rPr>
        <w:t>Primary energy consumption in the United States has undergone significant changes over the past several decades, driven by technological progress, economic growth, policy shifts, and evolving patterns of demand across major sectors of society. The electric power and transportation sectors have grown to represent the largest consumers of energy, reflecting increased electrification and continued depend</w:t>
      </w:r>
      <w:r w:rsidR="00413BB5">
        <w:rPr>
          <w:lang w:val="en-US" w:eastAsia="zh-CN"/>
        </w:rPr>
        <w:t>e</w:t>
      </w:r>
      <w:r w:rsidR="00B83FFC" w:rsidRPr="00A468F9">
        <w:rPr>
          <w:lang w:val="en-US" w:eastAsia="zh-CN"/>
        </w:rPr>
        <w:t xml:space="preserve">nce on motor fuels. Understanding how these sectors contribute to overall national energy </w:t>
      </w:r>
      <w:r w:rsidR="00413BB5">
        <w:rPr>
          <w:lang w:val="en-US" w:eastAsia="zh-CN"/>
        </w:rPr>
        <w:t>u</w:t>
      </w:r>
      <w:r w:rsidR="00B83FFC" w:rsidRPr="00A468F9">
        <w:rPr>
          <w:lang w:val="en-US" w:eastAsia="zh-CN"/>
        </w:rPr>
        <w:t>se is valuable for policymakers, utility planners, and analysts working toward sustainable energy systems.</w:t>
      </w:r>
      <w:r w:rsidR="00413BB5">
        <w:rPr>
          <w:lang w:val="en-US" w:eastAsia="zh-CN"/>
        </w:rPr>
        <w:t xml:space="preserve"> </w:t>
      </w:r>
      <w:r w:rsidR="00413BB5">
        <w:t>This study investigates three primary research questions: (1) how total U.S. primary energy consumption has changed over the past 50 years, (2) which energy sector has experienced the fastest growth rate, and (3) whether U.S. electric power consumption can be predicted using historical energy consumption from other sectors.</w:t>
      </w:r>
    </w:p>
    <w:p w14:paraId="2BBE5788" w14:textId="06EA49AE" w:rsidR="009303D9" w:rsidRPr="00D97DD7" w:rsidRDefault="00B272CE" w:rsidP="006B6B66">
      <w:pPr>
        <w:pStyle w:val="Heading1"/>
      </w:pPr>
      <w:r>
        <w:rPr>
          <w:rFonts w:hint="eastAsia"/>
          <w:lang w:eastAsia="zh-CN"/>
        </w:rPr>
        <w:t>Datasets</w:t>
      </w:r>
    </w:p>
    <w:p w14:paraId="4030B594" w14:textId="44FE351C" w:rsidR="009303D9" w:rsidRPr="00D97DD7" w:rsidRDefault="00B272CE" w:rsidP="00ED0149">
      <w:pPr>
        <w:pStyle w:val="Heading2"/>
      </w:pPr>
      <w:r>
        <w:rPr>
          <w:rFonts w:hint="eastAsia"/>
          <w:lang w:eastAsia="zh-CN"/>
        </w:rPr>
        <w:t>Source of dataset</w:t>
      </w:r>
      <w:r w:rsidR="009303D9" w:rsidRPr="00D97DD7">
        <w:t xml:space="preserve"> (Heading 2)</w:t>
      </w:r>
    </w:p>
    <w:p w14:paraId="514F9104" w14:textId="77777777" w:rsidR="00B83FFC" w:rsidRDefault="00B83FFC" w:rsidP="00C17148">
      <w:pPr>
        <w:pStyle w:val="BodyText"/>
        <w:ind w:firstLine="0pt"/>
      </w:pPr>
      <w:r>
        <w:tab/>
        <w:t xml:space="preserve">The dataset used in this project was obtained from Statista, a well-known statistical aggregation platform that compiles data from verified government, institutional, and industry sources. The specific dataset, </w:t>
      </w:r>
      <w:r>
        <w:rPr>
          <w:rStyle w:val="Emphasis"/>
        </w:rPr>
        <w:t>“Primary energy consumption in the United States from 1975 to 2024, by sector,”</w:t>
      </w:r>
      <w:r>
        <w:t xml:space="preserve"> is based on historical energy data originally published by the U.S. Energy Information Administration (EIA).</w:t>
      </w:r>
    </w:p>
    <w:p w14:paraId="37671BE6" w14:textId="221DA425" w:rsidR="00C93390" w:rsidRDefault="00C93390" w:rsidP="00C17148">
      <w:pPr>
        <w:pStyle w:val="BodyText"/>
        <w:ind w:firstLine="0pt"/>
      </w:pPr>
      <w:r>
        <w:t xml:space="preserve">The dataset contains EIA-reported estimates of annual primary energy consumption measured in quadrillion British thermal units. The data was generated using national energy accounting procedures conducted by the EIA, which include the aggregation of consumption from electricity generation, transportation, industrial processes, residential use, and commercial activity. Since Statista directly reproduces these </w:t>
      </w:r>
      <w:r>
        <w:t>values without altering units or restructuring the data, the dataset is considered credible, consistent, and suitable for analytical use.</w:t>
      </w:r>
    </w:p>
    <w:p w14:paraId="0E6DEF03" w14:textId="43893EF5" w:rsidR="009303D9" w:rsidRPr="00D97DD7" w:rsidRDefault="00D32DB9" w:rsidP="00ED0149">
      <w:pPr>
        <w:pStyle w:val="Heading2"/>
      </w:pPr>
      <w:r>
        <w:rPr>
          <w:rFonts w:hint="eastAsia"/>
          <w:lang w:eastAsia="zh-CN"/>
        </w:rPr>
        <w:t>Character of the datasets</w:t>
      </w:r>
    </w:p>
    <w:p w14:paraId="5D1D58AE" w14:textId="7BF84156" w:rsidR="00A468F9" w:rsidRPr="00A468F9" w:rsidRDefault="00A468F9" w:rsidP="00A468F9">
      <w:pPr>
        <w:pStyle w:val="BodyText"/>
        <w:rPr>
          <w:color w:val="FF0000"/>
          <w:lang w:val="en-US" w:eastAsia="zh-CN"/>
        </w:rPr>
      </w:pPr>
      <w:r>
        <w:t xml:space="preserve">The dataset consists of </w:t>
      </w:r>
      <w:r>
        <w:rPr>
          <w:lang w:val="en-US"/>
        </w:rPr>
        <w:t xml:space="preserve"> 21</w:t>
      </w:r>
      <w:r w:rsidRPr="00A468F9">
        <w:rPr>
          <w:rStyle w:val="Strong"/>
          <w:b w:val="0"/>
          <w:bCs w:val="0"/>
        </w:rPr>
        <w:t xml:space="preserve"> observations</w:t>
      </w:r>
      <w:r w:rsidRPr="00A468F9">
        <w:t xml:space="preserve">, each representing a five-year interval between </w:t>
      </w:r>
      <w:r w:rsidRPr="00A468F9">
        <w:rPr>
          <w:rStyle w:val="Strong"/>
          <w:b w:val="0"/>
          <w:bCs w:val="0"/>
        </w:rPr>
        <w:t>1975 and 2024</w:t>
      </w:r>
      <w:r w:rsidRPr="00A468F9">
        <w:t>.</w:t>
      </w:r>
      <w:r>
        <w:t xml:space="preserve"> Each</w:t>
      </w:r>
      <w:r>
        <w:rPr>
          <w:lang w:val="en-US"/>
        </w:rPr>
        <w:t xml:space="preserve"> </w:t>
      </w:r>
      <w:r>
        <w:t xml:space="preserve">observation records the U.S. primary energy consumption for five major economic sectors. The dataset is structured in a tabular format with one row per year and one column per sector, along with the year variable. All values are reported in </w:t>
      </w:r>
      <w:r w:rsidRPr="00A468F9">
        <w:rPr>
          <w:rStyle w:val="Strong"/>
          <w:b w:val="0"/>
          <w:bCs w:val="0"/>
        </w:rPr>
        <w:t>quadrillion Btu (British thermal units)</w:t>
      </w:r>
      <w:r w:rsidRPr="00A468F9">
        <w:rPr>
          <w:b/>
          <w:bCs/>
        </w:rPr>
        <w:t>.</w:t>
      </w:r>
      <w:r>
        <w:rPr>
          <w:b/>
          <w:bCs/>
          <w:lang w:val="en-US"/>
        </w:rPr>
        <w:t xml:space="preserve"> </w:t>
      </w:r>
      <w:r>
        <w:rPr>
          <w:lang w:val="en-US"/>
        </w:rPr>
        <w:t>Statista provided clean data; no unit conversions needed.</w:t>
      </w:r>
    </w:p>
    <w:p w14:paraId="57EEC3BF" w14:textId="5AFCD3A0" w:rsidR="00413BB5" w:rsidRPr="00413BB5" w:rsidRDefault="00413BB5" w:rsidP="00D03374">
      <w:pPr>
        <w:pStyle w:val="BodyText"/>
        <w:rPr>
          <w:color w:val="000000" w:themeColor="text1"/>
          <w:lang w:val="en-US" w:eastAsia="zh-CN"/>
        </w:rPr>
      </w:pPr>
      <w:r w:rsidRPr="00413BB5">
        <w:rPr>
          <w:color w:val="000000" w:themeColor="text1"/>
          <w:lang w:val="en-US" w:eastAsia="zh-CN"/>
        </w:rPr>
        <w:t>Data preprocessing included removing metatdata rows from the original Excel file, renaming columns for consistency, and verifying no missing values remained. A new variable, total energy con</w:t>
      </w:r>
      <w:r w:rsidR="00861DD0">
        <w:rPr>
          <w:color w:val="000000" w:themeColor="text1"/>
          <w:lang w:val="en-US" w:eastAsia="zh-CN"/>
        </w:rPr>
        <w:t>s</w:t>
      </w:r>
      <w:r w:rsidRPr="00413BB5">
        <w:rPr>
          <w:color w:val="000000" w:themeColor="text1"/>
          <w:lang w:val="en-US" w:eastAsia="zh-CN"/>
        </w:rPr>
        <w:t>umption, was created by summing the five sectoral values for each year.</w:t>
      </w:r>
    </w:p>
    <w:p w14:paraId="33D7C440" w14:textId="0DF47242" w:rsidR="009303D9" w:rsidRPr="00D97DD7" w:rsidRDefault="00993F5D" w:rsidP="006B6B66">
      <w:pPr>
        <w:pStyle w:val="Heading1"/>
      </w:pPr>
      <w:r>
        <w:rPr>
          <w:rFonts w:hint="eastAsia"/>
          <w:lang w:eastAsia="zh-CN"/>
        </w:rPr>
        <w:t>Methodology</w:t>
      </w:r>
    </w:p>
    <w:p w14:paraId="06367C8E" w14:textId="72DF303A" w:rsidR="001D156D" w:rsidRPr="001D156D" w:rsidRDefault="001D156D" w:rsidP="001D156D">
      <w:pPr>
        <w:pStyle w:val="BodyText"/>
      </w:pPr>
      <w:r>
        <w:rPr>
          <w:lang w:val="en-US" w:eastAsia="zh-CN"/>
        </w:rPr>
        <w:t xml:space="preserve">This project </w:t>
      </w:r>
      <w:r w:rsidR="002D6E59">
        <w:rPr>
          <w:lang w:val="en-US" w:eastAsia="zh-CN"/>
        </w:rPr>
        <w:t xml:space="preserve">employs three primary analytical methods: time-series trend analysis, sectoral growth rate comparison, and linear regression modeling. Time-series analysis is used to </w:t>
      </w:r>
      <w:r w:rsidR="00861DD0">
        <w:rPr>
          <w:lang w:val="en-US" w:eastAsia="zh-CN"/>
        </w:rPr>
        <w:t>evaluate</w:t>
      </w:r>
      <w:r w:rsidR="002D6E59">
        <w:rPr>
          <w:lang w:val="en-US" w:eastAsia="zh-CN"/>
        </w:rPr>
        <w:t xml:space="preserve"> long-term changes in U.S. total primary energy consumption. Sectoral </w:t>
      </w:r>
      <w:r w:rsidR="00431B6E">
        <w:rPr>
          <w:lang w:val="en-US" w:eastAsia="zh-CN"/>
        </w:rPr>
        <w:t xml:space="preserve">growth rates are computed to identify which energy sector experienced the fastest relative increase over time. </w:t>
      </w:r>
      <w:r w:rsidR="00431B6E">
        <w:t>Finally, simple linear regression is applied to determine whether U.S. electric power consumption can be predicted using transportation energy consumption as a predictor. Model assumptions were evaluated using correlation analysis and residual diagnostics.</w:t>
      </w:r>
    </w:p>
    <w:p w14:paraId="0FDCAF2E" w14:textId="14B97D0B" w:rsidR="009303D9" w:rsidRPr="00D97DD7" w:rsidRDefault="00CA1218" w:rsidP="00ED0149">
      <w:pPr>
        <w:pStyle w:val="Heading2"/>
      </w:pPr>
      <w:r>
        <w:rPr>
          <w:rFonts w:hint="eastAsia"/>
          <w:lang w:eastAsia="zh-CN"/>
        </w:rPr>
        <w:t>Method A</w:t>
      </w:r>
    </w:p>
    <w:p w14:paraId="18C60C9E" w14:textId="5FCCD5B9" w:rsidR="00D03374" w:rsidRPr="00D97DD7" w:rsidRDefault="00431B6E" w:rsidP="0048216D">
      <w:pPr>
        <w:pStyle w:val="BodyText"/>
        <w:rPr>
          <w:lang w:val="en-US"/>
        </w:rPr>
      </w:pPr>
      <w:r>
        <w:rPr>
          <w:lang w:val="en-US"/>
        </w:rPr>
        <w:t>Time</w:t>
      </w:r>
      <w:r w:rsidR="0042337C">
        <w:rPr>
          <w:lang w:val="en-US"/>
        </w:rPr>
        <w:t>-</w:t>
      </w:r>
      <w:r>
        <w:rPr>
          <w:lang w:val="en-US"/>
        </w:rPr>
        <w:t xml:space="preserve">series trend analysis was applied to examine how total U.S. primary energy consumption was changed from 1975 to 2024. Total energy consumption was calculated as the sum of electric power, transportation, industrial, residential, and </w:t>
      </w:r>
      <w:r w:rsidR="00861DD0">
        <w:rPr>
          <w:lang w:val="en-US"/>
        </w:rPr>
        <w:t>commercial</w:t>
      </w:r>
      <w:r>
        <w:rPr>
          <w:lang w:val="en-US"/>
        </w:rPr>
        <w:t xml:space="preserve"> energy usage at each time point. A line plot was then used to visualize the long-term trend and identify periods of growth, stabilization, or decline. A </w:t>
      </w:r>
      <w:r w:rsidR="00861DD0">
        <w:rPr>
          <w:lang w:val="en-US"/>
        </w:rPr>
        <w:t>five-year</w:t>
      </w:r>
      <w:r w:rsidR="00FB63FB">
        <w:rPr>
          <w:lang w:val="en-US"/>
        </w:rPr>
        <w:t xml:space="preserve"> moving average was subsequently computed and overlaid to smooth short-term fluctuations and provide a generalized representation of the underlying trend.</w:t>
      </w:r>
    </w:p>
    <w:p w14:paraId="1367CF47" w14:textId="77777777" w:rsidR="00FB63FB" w:rsidRDefault="00CA1218" w:rsidP="00FB63FB">
      <w:pPr>
        <w:pStyle w:val="Heading2"/>
        <w:rPr>
          <w:lang w:eastAsia="zh-CN"/>
        </w:rPr>
      </w:pPr>
      <w:r>
        <w:rPr>
          <w:rFonts w:hint="eastAsia"/>
          <w:lang w:eastAsia="zh-CN"/>
        </w:rPr>
        <w:t>Method B</w:t>
      </w:r>
    </w:p>
    <w:p w14:paraId="5DF5724D" w14:textId="77777777" w:rsidR="00C81954" w:rsidRDefault="00FB63FB" w:rsidP="00C81954">
      <w:pPr>
        <w:pStyle w:val="Heading2"/>
        <w:numPr>
          <w:ilvl w:val="0"/>
          <w:numId w:val="0"/>
        </w:numPr>
        <w:ind w:firstLine="14.40pt"/>
        <w:rPr>
          <w:i w:val="0"/>
          <w:iCs w:val="0"/>
          <w:lang w:eastAsia="zh-CN"/>
        </w:rPr>
      </w:pPr>
      <w:r w:rsidRPr="00FB63FB">
        <w:rPr>
          <w:i w:val="0"/>
          <w:iCs w:val="0"/>
          <w:lang w:eastAsia="zh-CN"/>
        </w:rPr>
        <w:t>Sectoral growth rates were computed using percent change between the first and last observations for each sector. The percent growth rate for each sector was calculated  using the fo</w:t>
      </w:r>
      <w:r w:rsidR="00C81954">
        <w:rPr>
          <w:i w:val="0"/>
          <w:iCs w:val="0"/>
          <w:lang w:eastAsia="zh-CN"/>
        </w:rPr>
        <w:t>rmula:</w:t>
      </w:r>
    </w:p>
    <w:p w14:paraId="622B3837" w14:textId="77777777" w:rsidR="002354D9" w:rsidRPr="002354D9" w:rsidRDefault="002354D9" w:rsidP="002354D9">
      <w:pPr>
        <w:rPr>
          <w:lang w:eastAsia="zh-CN"/>
        </w:rPr>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410"/>
        <w:gridCol w:w="450"/>
      </w:tblGrid>
      <w:tr w:rsidR="002354D9" w14:paraId="5E85A8A5" w14:textId="77777777" w:rsidTr="0048216D">
        <w:tc>
          <w:tcPr>
            <w:tcW w:w="220.50pt" w:type="dxa"/>
          </w:tcPr>
          <w:p w14:paraId="4BDF4DB9" w14:textId="46A398C4" w:rsidR="002354D9" w:rsidRDefault="00000000" w:rsidP="00C81954">
            <w:pPr>
              <w:tabs>
                <w:tab w:val="center" w:pos="121.50pt"/>
              </w:tabs>
              <w:rPr>
                <w:lang w:eastAsia="zh-CN"/>
              </w:rPr>
            </w:pPr>
            <m:oMathPara>
              <m:oMath>
                <m:f>
                  <m:fPr>
                    <m:ctrlPr>
                      <w:rPr>
                        <w:rFonts w:ascii="Cambria Math" w:hAnsi="Cambria Math"/>
                        <w:i/>
                        <w:lang w:eastAsia="zh-CN"/>
                      </w:rPr>
                    </m:ctrlPr>
                  </m:fPr>
                  <m:num>
                    <m:r>
                      <w:rPr>
                        <w:rFonts w:ascii="Cambria Math" w:hAnsi="Cambria Math"/>
                        <w:lang w:eastAsia="zh-CN"/>
                      </w:rPr>
                      <m:t>(</m:t>
                    </m:r>
                    <m:r>
                      <m:rPr>
                        <m:nor/>
                      </m:rPr>
                      <w:rPr>
                        <w:lang w:eastAsia="zh-CN"/>
                      </w:rPr>
                      <m:t>Final Value</m:t>
                    </m:r>
                    <m:r>
                      <m:rPr>
                        <m:nor/>
                      </m:rPr>
                      <w:rPr>
                        <w:rFonts w:ascii="Cambria Math"/>
                        <w:lang w:eastAsia="zh-CN"/>
                      </w:rPr>
                      <m:t xml:space="preserve"> </m:t>
                    </m:r>
                    <m:r>
                      <m:rPr>
                        <m:nor/>
                      </m:rPr>
                      <w:rPr>
                        <w:lang w:eastAsia="zh-CN"/>
                      </w:rPr>
                      <m:t>-</m:t>
                    </m:r>
                    <m:r>
                      <m:rPr>
                        <m:nor/>
                      </m:rPr>
                      <w:rPr>
                        <w:rFonts w:ascii="Cambria Math"/>
                        <w:lang w:eastAsia="zh-CN"/>
                      </w:rPr>
                      <m:t xml:space="preserve"> </m:t>
                    </m:r>
                    <m:r>
                      <m:rPr>
                        <m:nor/>
                      </m:rPr>
                      <w:rPr>
                        <w:lang w:eastAsia="zh-CN"/>
                      </w:rPr>
                      <m:t>Initial Value</m:t>
                    </m:r>
                    <m:r>
                      <w:rPr>
                        <w:rFonts w:ascii="Cambria Math" w:hAnsi="Cambria Math"/>
                        <w:lang w:eastAsia="zh-CN"/>
                      </w:rPr>
                      <m:t>)</m:t>
                    </m:r>
                  </m:num>
                  <m:den>
                    <m:r>
                      <m:rPr>
                        <m:nor/>
                      </m:rPr>
                      <w:rPr>
                        <w:lang w:eastAsia="zh-CN"/>
                      </w:rPr>
                      <m:t>Initial Value</m:t>
                    </m:r>
                  </m:den>
                </m:f>
                <m:r>
                  <w:rPr>
                    <w:rFonts w:ascii="Cambria Math" w:hAnsi="Cambria Math"/>
                    <w:lang w:eastAsia="zh-CN"/>
                  </w:rPr>
                  <m:t xml:space="preserve"> ×</m:t>
                </m:r>
                <m:r>
                  <m:rPr>
                    <m:nor/>
                  </m:rPr>
                  <w:rPr>
                    <w:i/>
                    <w:iCs/>
                    <w:lang w:eastAsia="zh-CN"/>
                  </w:rPr>
                  <m:t>100</m:t>
                </m:r>
              </m:oMath>
            </m:oMathPara>
          </w:p>
        </w:tc>
        <w:tc>
          <w:tcPr>
            <w:tcW w:w="22.30pt" w:type="dxa"/>
            <w:vAlign w:val="center"/>
          </w:tcPr>
          <w:p w14:paraId="50B58394" w14:textId="0F670173" w:rsidR="0048216D" w:rsidRDefault="002354D9" w:rsidP="0048216D">
            <w:pPr>
              <w:tabs>
                <w:tab w:val="center" w:pos="121.50pt"/>
              </w:tabs>
              <w:rPr>
                <w:lang w:eastAsia="zh-CN"/>
              </w:rPr>
            </w:pPr>
            <w:r>
              <w:rPr>
                <w:lang w:eastAsia="zh-CN"/>
              </w:rPr>
              <w:t>(1)</w:t>
            </w:r>
          </w:p>
        </w:tc>
      </w:tr>
    </w:tbl>
    <w:p w14:paraId="49E1E1B7" w14:textId="77777777" w:rsidR="0048216D" w:rsidRDefault="000A1492" w:rsidP="000A1492">
      <w:pPr>
        <w:jc w:val="both"/>
        <w:rPr>
          <w:lang w:eastAsia="zh-CN"/>
        </w:rPr>
      </w:pPr>
      <w:r>
        <w:rPr>
          <w:lang w:eastAsia="zh-CN"/>
        </w:rPr>
        <w:lastRenderedPageBreak/>
        <w:tab/>
      </w:r>
    </w:p>
    <w:p w14:paraId="57A07BCC" w14:textId="43D4C9B0" w:rsidR="002354D9" w:rsidRPr="00C81954" w:rsidRDefault="000A1492" w:rsidP="0048216D">
      <w:pPr>
        <w:ind w:firstLine="14.40pt"/>
        <w:jc w:val="both"/>
        <w:rPr>
          <w:lang w:eastAsia="zh-CN"/>
        </w:rPr>
      </w:pPr>
      <w:r>
        <w:rPr>
          <w:lang w:eastAsia="zh-CN"/>
        </w:rPr>
        <w:t>These growth rates were then ranked to determine which sector experienced the fastest relative growth over the study period.</w:t>
      </w:r>
    </w:p>
    <w:p w14:paraId="1EF195BC" w14:textId="5120AECF" w:rsidR="009303D9" w:rsidRPr="00D97DD7" w:rsidRDefault="00CA1218" w:rsidP="00ED0149">
      <w:pPr>
        <w:pStyle w:val="Heading2"/>
      </w:pPr>
      <w:r>
        <w:rPr>
          <w:rFonts w:hint="eastAsia"/>
          <w:lang w:eastAsia="zh-CN"/>
        </w:rPr>
        <w:t>Method C</w:t>
      </w:r>
    </w:p>
    <w:p w14:paraId="11B68F54" w14:textId="55F58B75" w:rsidR="009303D9" w:rsidRPr="00D97DD7" w:rsidRDefault="000A1492" w:rsidP="000A1492">
      <w:pPr>
        <w:pStyle w:val="BodyText"/>
        <w:tabs>
          <w:tab w:val="clear" w:pos="14.40pt"/>
        </w:tabs>
      </w:pPr>
      <w:r>
        <w:rPr>
          <w:lang w:val="en-US" w:eastAsia="zh-CN"/>
        </w:rPr>
        <w:t>A simple linear regression was developed to predict U.S. electric power consumption using transportation as the predictor variable.</w:t>
      </w:r>
      <w:r w:rsidRPr="000A1492">
        <w:t xml:space="preserve"> </w:t>
      </w:r>
      <w:r>
        <w:t>Transportation energy was selected after correlation analysis revealed a strong linear relationship with electric power consumption (r ≈ 0.</w:t>
      </w:r>
      <w:r>
        <w:rPr>
          <w:lang w:val="en-US"/>
        </w:rPr>
        <w:t>8</w:t>
      </w:r>
      <w:r>
        <w:t>9), while industrial, residential, and commercial sectors exhibited weak or non-linear correlations. Model performance was evaluated using the coefficient of determination (R²). A residual diagnostic plot was also generated to assess the adequacy of the linear regression assumption</w:t>
      </w:r>
      <w:r>
        <w:rPr>
          <w:lang w:val="en-US"/>
        </w:rPr>
        <w:t>s</w:t>
      </w:r>
      <w:r>
        <w:t>.</w:t>
      </w:r>
      <w:r>
        <w:rPr>
          <w:lang w:val="en-US"/>
        </w:rPr>
        <w:t xml:space="preserve"> </w:t>
      </w:r>
      <w:r>
        <w:t>Finally, a regression plot comparing actual and predicted electric power values was generated using transportation energy consumption as the predictor to visually evaluate model performance.</w:t>
      </w:r>
    </w:p>
    <w:p w14:paraId="180CFC57" w14:textId="7A328ADB" w:rsidR="009303D9" w:rsidRPr="00D97DD7" w:rsidRDefault="00B10A14" w:rsidP="006B6B66">
      <w:pPr>
        <w:pStyle w:val="Heading1"/>
      </w:pPr>
      <w:r>
        <w:rPr>
          <w:rFonts w:hint="eastAsia"/>
          <w:lang w:eastAsia="zh-CN"/>
        </w:rPr>
        <w:t>Results</w:t>
      </w:r>
    </w:p>
    <w:p w14:paraId="37686000" w14:textId="5E10DCD7" w:rsidR="0048216D" w:rsidRPr="00D97DD7" w:rsidRDefault="0048216D" w:rsidP="0048216D">
      <w:pPr>
        <w:pStyle w:val="BodyText"/>
        <w:ind w:firstLine="0pt"/>
        <w:rPr>
          <w:lang w:val="en-US"/>
        </w:rPr>
      </w:pPr>
      <w:r>
        <w:rPr>
          <w:lang w:val="en-US" w:eastAsia="zh-CN"/>
        </w:rPr>
        <w:tab/>
      </w:r>
      <w:r>
        <w:t>This section presents the primary findings of the study, organized according to the three research questions introduced earlier. Specifically, the results address (1) how total U.S. primary energy consumption has changed over the past 50 years, (2) which energy sector has experienced the fastest growth rate, and (3) whether U.S. electric power consumption can be predicted using historical energy consumption from other sectors. Each subsection below presents the corresponding results and interpretation.</w:t>
      </w:r>
    </w:p>
    <w:p w14:paraId="425954EE" w14:textId="76E46997" w:rsidR="009303D9" w:rsidRDefault="00FE7500" w:rsidP="00ED0149">
      <w:pPr>
        <w:pStyle w:val="Heading2"/>
        <w:rPr>
          <w:lang w:eastAsia="zh-CN"/>
        </w:rPr>
      </w:pPr>
      <w:r>
        <w:rPr>
          <w:rFonts w:hint="eastAsia"/>
          <w:lang w:eastAsia="zh-CN"/>
        </w:rPr>
        <w:t>Result A</w:t>
      </w:r>
      <w:r w:rsidR="0048216D">
        <w:rPr>
          <w:lang w:eastAsia="zh-CN"/>
        </w:rPr>
        <w:t xml:space="preserve"> </w:t>
      </w:r>
    </w:p>
    <w:p w14:paraId="45D5B66B" w14:textId="5ABB11D4" w:rsidR="0048216D" w:rsidRDefault="0042337C" w:rsidP="0048216D">
      <w:pPr>
        <w:ind w:firstLine="14.40pt"/>
        <w:jc w:val="both"/>
      </w:pPr>
      <w:r>
        <w:t>Total U.S. primary energy consumption increased substantially from 1975 through the mid-2000s. After approximately 2008, total energy consumption began to stabilize, with a noticeable decline occurring around 2020. A partial recovery is observed in the most recent years of the dataset</w:t>
      </w:r>
      <w:r>
        <w:t xml:space="preserve">. </w:t>
      </w:r>
      <w:r w:rsidR="0048216D">
        <w:t>Overall, the long-term trend reflects significant growth followed by structural stabilization.</w:t>
      </w:r>
    </w:p>
    <w:p w14:paraId="3358747A" w14:textId="539B3C57" w:rsidR="006F6D3D" w:rsidRDefault="001E5734" w:rsidP="00703286">
      <w:pPr>
        <w:ind w:firstLine="14.40pt"/>
        <w:jc w:val="both"/>
        <w:rPr>
          <w:noProof/>
          <w:lang w:eastAsia="zh-CN"/>
        </w:rPr>
      </w:pPr>
      <w:r>
        <w:rPr>
          <w:noProof/>
          <w:lang w:eastAsia="zh-CN"/>
        </w:rPr>
        <w:drawing>
          <wp:anchor distT="0" distB="0" distL="114300" distR="114300" simplePos="0" relativeHeight="251659264" behindDoc="0" locked="0" layoutInCell="1" allowOverlap="1" wp14:anchorId="1B7854AB" wp14:editId="5B6953D1">
            <wp:simplePos x="0" y="0"/>
            <wp:positionH relativeFrom="column">
              <wp:posOffset>48895</wp:posOffset>
            </wp:positionH>
            <wp:positionV relativeFrom="paragraph">
              <wp:posOffset>64770</wp:posOffset>
            </wp:positionV>
            <wp:extent cx="3124200" cy="1605280"/>
            <wp:effectExtent l="0" t="0" r="0" b="0"/>
            <wp:wrapNone/>
            <wp:docPr id="1164396708" name="Text Box 7"/>
            <wp:cNvGraphicFramePr/>
            <a:graphic xmlns:a="http://purl.oclc.org/ooxml/drawingml/main">
              <a:graphicData uri="http://schemas.microsoft.com/office/word/2010/wordprocessingShape">
                <wp:wsp>
                  <wp:cNvSpPr txBox="1"/>
                  <wp:spPr>
                    <a:xfrm>
                      <a:off x="0" y="0"/>
                      <a:ext cx="3124200" cy="1605280"/>
                    </a:xfrm>
                    <a:prstGeom prst="rect">
                      <a:avLst/>
                    </a:prstGeom>
                    <a:solidFill>
                      <a:schemeClr val="lt1"/>
                    </a:solidFill>
                    <a:ln w="6350">
                      <a:noFill/>
                    </a:ln>
                  </wp:spPr>
                  <wp:txbx>
                    <wne:txbxContent>
                      <w:p w14:paraId="3B1ED949" w14:textId="7D4A28A9" w:rsidR="001E5734" w:rsidRDefault="0042337C">
                        <w:r>
                          <w:rPr>
                            <w:noProof/>
                          </w:rPr>
                          <w:drawing>
                            <wp:inline distT="0" distB="0" distL="0" distR="0" wp14:anchorId="2106E74A" wp14:editId="43732544">
                              <wp:extent cx="2745105" cy="1507490"/>
                              <wp:effectExtent l="0" t="0" r="0" b="0"/>
                              <wp:docPr id="1600146597" name="Picture 1" descr="A graph of a graph showing the price of energy consump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0146597" name="Picture 1" descr="A graph of a graph showing the price of energy consump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45105" cy="150749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5239D97F" w14:textId="77777777" w:rsidR="001E5734" w:rsidRDefault="001E5734" w:rsidP="00703286">
      <w:pPr>
        <w:ind w:firstLine="14.40pt"/>
        <w:jc w:val="both"/>
        <w:rPr>
          <w:noProof/>
          <w:lang w:eastAsia="zh-CN"/>
        </w:rPr>
      </w:pPr>
    </w:p>
    <w:p w14:paraId="3C69F5F8" w14:textId="77777777" w:rsidR="001E5734" w:rsidRDefault="001E5734" w:rsidP="00703286">
      <w:pPr>
        <w:ind w:firstLine="14.40pt"/>
        <w:jc w:val="both"/>
        <w:rPr>
          <w:noProof/>
          <w:lang w:eastAsia="zh-CN"/>
        </w:rPr>
      </w:pPr>
    </w:p>
    <w:p w14:paraId="59EEF861" w14:textId="77777777" w:rsidR="001E5734" w:rsidRDefault="001E5734" w:rsidP="00703286">
      <w:pPr>
        <w:ind w:firstLine="14.40pt"/>
        <w:jc w:val="both"/>
        <w:rPr>
          <w:noProof/>
          <w:lang w:eastAsia="zh-CN"/>
        </w:rPr>
      </w:pPr>
    </w:p>
    <w:p w14:paraId="1730F725" w14:textId="77777777" w:rsidR="001E5734" w:rsidRDefault="001E5734" w:rsidP="00703286">
      <w:pPr>
        <w:ind w:firstLine="14.40pt"/>
        <w:jc w:val="both"/>
        <w:rPr>
          <w:noProof/>
          <w:lang w:eastAsia="zh-CN"/>
        </w:rPr>
      </w:pPr>
    </w:p>
    <w:p w14:paraId="4EBF90C7" w14:textId="77777777" w:rsidR="001E5734" w:rsidRDefault="001E5734" w:rsidP="00703286">
      <w:pPr>
        <w:ind w:firstLine="14.40pt"/>
        <w:jc w:val="both"/>
        <w:rPr>
          <w:noProof/>
          <w:lang w:eastAsia="zh-CN"/>
        </w:rPr>
      </w:pPr>
    </w:p>
    <w:p w14:paraId="03115C2A" w14:textId="77777777" w:rsidR="001E5734" w:rsidRDefault="001E5734" w:rsidP="00703286">
      <w:pPr>
        <w:ind w:firstLine="14.40pt"/>
        <w:jc w:val="both"/>
        <w:rPr>
          <w:noProof/>
          <w:lang w:eastAsia="zh-CN"/>
        </w:rPr>
      </w:pPr>
    </w:p>
    <w:p w14:paraId="1D7660D2" w14:textId="77777777" w:rsidR="001E5734" w:rsidRDefault="001E5734" w:rsidP="00703286">
      <w:pPr>
        <w:ind w:firstLine="14.40pt"/>
        <w:jc w:val="both"/>
        <w:rPr>
          <w:noProof/>
          <w:lang w:eastAsia="zh-CN"/>
        </w:rPr>
      </w:pPr>
    </w:p>
    <w:p w14:paraId="346E1611" w14:textId="77777777" w:rsidR="001E5734" w:rsidRDefault="001E5734" w:rsidP="00703286">
      <w:pPr>
        <w:ind w:firstLine="14.40pt"/>
        <w:jc w:val="both"/>
        <w:rPr>
          <w:noProof/>
          <w:lang w:eastAsia="zh-CN"/>
        </w:rPr>
      </w:pPr>
    </w:p>
    <w:p w14:paraId="134BA111" w14:textId="77777777" w:rsidR="001E5734" w:rsidRDefault="001E5734" w:rsidP="00703286">
      <w:pPr>
        <w:ind w:firstLine="14.40pt"/>
        <w:jc w:val="both"/>
        <w:rPr>
          <w:noProof/>
          <w:lang w:eastAsia="zh-CN"/>
        </w:rPr>
      </w:pPr>
    </w:p>
    <w:p w14:paraId="51BD7C82" w14:textId="77777777" w:rsidR="001E5734" w:rsidRDefault="001E5734" w:rsidP="00703286">
      <w:pPr>
        <w:ind w:firstLine="14.40pt"/>
        <w:jc w:val="both"/>
        <w:rPr>
          <w:noProof/>
          <w:lang w:eastAsia="zh-CN"/>
        </w:rPr>
      </w:pPr>
    </w:p>
    <w:p w14:paraId="582EE150" w14:textId="77777777" w:rsidR="001E5734" w:rsidRPr="00703286" w:rsidRDefault="001E5734" w:rsidP="00703286">
      <w:pPr>
        <w:ind w:firstLine="14.40pt"/>
        <w:jc w:val="both"/>
        <w:rPr>
          <w:lang w:eastAsia="zh-CN"/>
        </w:rPr>
      </w:pPr>
    </w:p>
    <w:p w14:paraId="637945EF" w14:textId="30E0D86E" w:rsidR="009303D9" w:rsidRPr="00D97DD7" w:rsidRDefault="00FE7500" w:rsidP="00ED0149">
      <w:pPr>
        <w:pStyle w:val="Heading2"/>
      </w:pPr>
      <w:r>
        <w:rPr>
          <w:rFonts w:hint="eastAsia"/>
          <w:lang w:eastAsia="zh-CN"/>
        </w:rPr>
        <w:t>Results B</w:t>
      </w:r>
    </w:p>
    <w:p w14:paraId="29BED216" w14:textId="203BE7E1" w:rsidR="00703286" w:rsidRPr="00D97DD7" w:rsidRDefault="00703286" w:rsidP="00E7596C">
      <w:pPr>
        <w:pStyle w:val="BodyText"/>
        <w:rPr>
          <w:lang w:val="en-US"/>
        </w:rPr>
      </w:pPr>
      <w:r>
        <w:rPr>
          <w:lang w:val="en-US" w:eastAsia="zh-CN"/>
        </w:rPr>
        <w:t xml:space="preserve">Percent growth rate analysis revealed that the electric power sector experienced the fastest relative increase in energy consumption over the study period, with an approximate growth rate of 80.6%. Transportation ranked second in growth, while industrial and </w:t>
      </w:r>
      <w:r w:rsidR="00861DD0">
        <w:rPr>
          <w:lang w:val="en-US" w:eastAsia="zh-CN"/>
        </w:rPr>
        <w:t>commercial</w:t>
      </w:r>
      <w:r>
        <w:rPr>
          <w:lang w:val="en-US" w:eastAsia="zh-CN"/>
        </w:rPr>
        <w:t xml:space="preserve"> sectors exhibited modest changes. Residential energy consumption showed a net decline over the same period. </w:t>
      </w:r>
      <w:r w:rsidR="0042337C">
        <w:t xml:space="preserve">These results indicate a strong long-term shift toward increased electric </w:t>
      </w:r>
      <w:r w:rsidR="0042337C">
        <w:t>power consumption relative to other major sectors.</w:t>
      </w:r>
      <w:r>
        <w:rPr>
          <w:noProof/>
          <w:lang w:val="en-US"/>
        </w:rPr>
        <w:drawing>
          <wp:inline distT="0" distB="0" distL="0" distR="0" wp14:anchorId="3BB26FE5" wp14:editId="0FB88C0C">
            <wp:extent cx="2855288" cy="1843405"/>
            <wp:effectExtent l="0" t="0" r="2540" b="4445"/>
            <wp:docPr id="2041510654" name="Picture 2" descr="A graph of blue rectangle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1510654" name="Picture 2" descr="A graph of blue rectangl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7172" cy="1844621"/>
                    </a:xfrm>
                    <a:prstGeom prst="rect">
                      <a:avLst/>
                    </a:prstGeom>
                  </pic:spPr>
                </pic:pic>
              </a:graphicData>
            </a:graphic>
          </wp:inline>
        </w:drawing>
      </w:r>
    </w:p>
    <w:p w14:paraId="6CC258F2" w14:textId="77777777" w:rsidR="00703286" w:rsidRDefault="00FE7500" w:rsidP="00703286">
      <w:pPr>
        <w:pStyle w:val="Heading2"/>
      </w:pPr>
      <w:r>
        <w:rPr>
          <w:rFonts w:hint="eastAsia"/>
          <w:lang w:eastAsia="zh-CN"/>
        </w:rPr>
        <w:t>Results C</w:t>
      </w:r>
    </w:p>
    <w:p w14:paraId="43D33C3E" w14:textId="40458F4D" w:rsidR="009303D9" w:rsidRPr="0042337C" w:rsidRDefault="0004781E" w:rsidP="00703286">
      <w:pPr>
        <w:pStyle w:val="Heading2"/>
        <w:numPr>
          <w:ilvl w:val="0"/>
          <w:numId w:val="0"/>
        </w:numPr>
        <w:ind w:firstLine="14.40pt"/>
        <w:rPr>
          <w:i w:val="0"/>
          <w:iCs w:val="0"/>
        </w:rPr>
      </w:pPr>
      <w:r w:rsidRPr="00D97DD7">
        <w:t xml:space="preserve"> </w:t>
      </w:r>
      <w:r w:rsidR="0042337C" w:rsidRPr="0042337C">
        <w:rPr>
          <w:i w:val="0"/>
          <w:iCs w:val="0"/>
        </w:rPr>
        <w:t>Correlation analysis indicated a strong positive linear relationship between transportation and electric power consumption (r ≈ 0.89). A simple linear regression model was therefore constructed using transportation energy as the predictor variable. The fitted regression model produced a strong coefficient of determination (R² ≈ 0.79), indicating that a large proportion of the variability in electric power consumption can be explained by transportation energy usage alone.</w:t>
      </w:r>
    </w:p>
    <w:p w14:paraId="67DC4E2D" w14:textId="36677298" w:rsidR="00703286" w:rsidRDefault="00703286" w:rsidP="00703286">
      <w:pPr>
        <w:jc w:val="both"/>
      </w:pPr>
      <w:r>
        <w:tab/>
        <w:t xml:space="preserve">Residual analysis showed no clear systematic pattern, supporting the </w:t>
      </w:r>
      <w:r w:rsidR="00861DD0">
        <w:t>assumption</w:t>
      </w:r>
      <w:r>
        <w:t xml:space="preserve"> that linear regression model is appropriate for this relationship. </w:t>
      </w:r>
    </w:p>
    <w:p w14:paraId="35649CC5" w14:textId="01DB79C5" w:rsidR="0073221B" w:rsidRDefault="0073221B" w:rsidP="0073221B">
      <w:pPr>
        <w:jc w:val="both"/>
      </w:pPr>
      <w:r>
        <w:rPr>
          <w:noProof/>
        </w:rPr>
        <w:drawing>
          <wp:inline distT="0" distB="0" distL="0" distR="0" wp14:anchorId="6D3004E7" wp14:editId="6C635889">
            <wp:extent cx="2420284" cy="1949259"/>
            <wp:effectExtent l="0" t="0" r="0" b="0"/>
            <wp:docPr id="1461978684" name="Picture 3" descr="A diagram of a diagnostic&#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61978684" name="Picture 3" descr="A diagram of a diagnostic&#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2429744" cy="1956878"/>
                    </a:xfrm>
                    <a:prstGeom prst="rect">
                      <a:avLst/>
                    </a:prstGeom>
                  </pic:spPr>
                </pic:pic>
              </a:graphicData>
            </a:graphic>
          </wp:inline>
        </w:drawing>
      </w:r>
    </w:p>
    <w:p w14:paraId="29671F96" w14:textId="5AC7B427" w:rsidR="0073221B" w:rsidRDefault="0073221B" w:rsidP="0073221B">
      <w:pPr>
        <w:jc w:val="both"/>
      </w:pPr>
      <w:r>
        <w:t xml:space="preserve">A linear regression plot was constructed to evaluate the predictive accuracy of the model by overlaying the fitted regression line on the observed data points. The results indicate a clear positive linear relationship between transportation energy consumption and </w:t>
      </w:r>
      <w:r w:rsidR="001E5734">
        <w:t>ele</w:t>
      </w:r>
      <w:r>
        <w:t xml:space="preserve">ctric power consumption. The regression line closely </w:t>
      </w:r>
      <w:r w:rsidR="00861DD0">
        <w:t>follows</w:t>
      </w:r>
      <w:r>
        <w:t xml:space="preserve"> the overall upward trend of the </w:t>
      </w:r>
      <w:r w:rsidR="001E5734">
        <w:t xml:space="preserve">observed data, demonstrating that the model captures the general pattern of the relationship </w:t>
      </w:r>
      <w:r w:rsidR="00861DD0">
        <w:t>effectively</w:t>
      </w:r>
      <w:r w:rsidR="001E5734">
        <w:t>. While some clust</w:t>
      </w:r>
      <w:r w:rsidR="00861DD0">
        <w:t>ering</w:t>
      </w:r>
      <w:r w:rsidR="001E5734">
        <w:t xml:space="preserve"> of the observed electric power values is present at higher levels of transportation energy consumption, the regression model provides a reasonable line of best fit across the full range of the data, supporting its suitability for prediction.</w:t>
      </w:r>
    </w:p>
    <w:p w14:paraId="12CB7FC4" w14:textId="40CA9E37" w:rsidR="0080791D" w:rsidRPr="00D97DD7" w:rsidRDefault="001E5734" w:rsidP="001E5734">
      <w:pPr>
        <w:jc w:val="both"/>
      </w:pPr>
      <w:r>
        <w:rPr>
          <w:noProof/>
        </w:rPr>
        <w:lastRenderedPageBreak/>
        <w:drawing>
          <wp:inline distT="0" distB="0" distL="0" distR="0" wp14:anchorId="3824689E" wp14:editId="5BBE0364">
            <wp:extent cx="3180080" cy="1874520"/>
            <wp:effectExtent l="0" t="0" r="1270" b="0"/>
            <wp:docPr id="1826862900" name="Text Box 5"/>
            <wp:cNvGraphicFramePr/>
            <a:graphic xmlns:a="http://purl.oclc.org/ooxml/drawingml/main">
              <a:graphicData uri="http://schemas.microsoft.com/office/word/2010/wordprocessingShape">
                <wp:wsp>
                  <wp:cNvSpPr txBox="1"/>
                  <wp:spPr>
                    <a:xfrm>
                      <a:off x="0" y="0"/>
                      <a:ext cx="3180080" cy="1874520"/>
                    </a:xfrm>
                    <a:prstGeom prst="rect">
                      <a:avLst/>
                    </a:prstGeom>
                    <a:solidFill>
                      <a:schemeClr val="lt1"/>
                    </a:solidFill>
                    <a:ln w="6350">
                      <a:noFill/>
                    </a:ln>
                  </wp:spPr>
                  <wp:txbx>
                    <wne:txbxContent>
                      <w:p w14:paraId="57E91751" w14:textId="4B1AC3F3" w:rsidR="001E5734" w:rsidRDefault="001E5734">
                        <w:r>
                          <w:rPr>
                            <w:noProof/>
                          </w:rPr>
                          <w:drawing>
                            <wp:inline distT="0" distB="0" distL="0" distR="0" wp14:anchorId="5CDC1678" wp14:editId="73F5376D">
                              <wp:extent cx="2328487" cy="1778000"/>
                              <wp:effectExtent l="0" t="0" r="0" b="0"/>
                              <wp:docPr id="692789244" name="Picture 6" descr="A graph with a red line and blue dot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92789244" name="Picture 6" descr="A graph with a red line and blue do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58111" cy="1800621"/>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r>
        <w:softHyphen/>
      </w:r>
      <w:r>
        <w:softHyphen/>
      </w:r>
      <w:r>
        <w:softHyphen/>
      </w:r>
    </w:p>
    <w:p w14:paraId="75B142C7" w14:textId="5233DCC4" w:rsidR="00EA7421" w:rsidRDefault="00C10EEC" w:rsidP="00EA7421">
      <w:pPr>
        <w:pStyle w:val="Heading1"/>
        <w:rPr>
          <w:lang w:eastAsia="zh-CN"/>
        </w:rPr>
      </w:pPr>
      <w:r>
        <w:rPr>
          <w:rFonts w:hint="eastAsia"/>
          <w:lang w:eastAsia="zh-CN"/>
        </w:rPr>
        <w:t>Discussion</w:t>
      </w:r>
    </w:p>
    <w:p w14:paraId="312C5C10" w14:textId="31357195" w:rsidR="00A62444" w:rsidRPr="00A62444" w:rsidRDefault="001E5734" w:rsidP="00337415">
      <w:pPr>
        <w:pStyle w:val="BodyText"/>
        <w:rPr>
          <w:lang w:eastAsia="zh-CN"/>
        </w:rPr>
      </w:pPr>
      <w:r>
        <w:t>While the results demonstrate strong statistical relationships between transportation and electric power consumption, several limitations exist. The dataset consists of five-year intervals rather than annual observations, which reduces temporal resolution. Additionally, the regression model does not account for external drivers such as policy changes, fuel price shocks, or technological shifts such as electric vehicle adoption. Future work could incorporate higher-frequency data, renewable energy penetration, and nonlinear machine learning models to improve predictive accuracy.</w:t>
      </w:r>
      <w:r>
        <w:rPr>
          <w:lang w:val="en-US" w:eastAsia="zh-CN"/>
        </w:rPr>
        <w:t xml:space="preserve"> </w:t>
      </w:r>
    </w:p>
    <w:p w14:paraId="220BE15F" w14:textId="77777777" w:rsidR="00C10EEC" w:rsidRPr="00D97DD7" w:rsidRDefault="00C10EEC" w:rsidP="00C10EEC">
      <w:pPr>
        <w:pStyle w:val="Heading1"/>
      </w:pPr>
      <w:r>
        <w:rPr>
          <w:rFonts w:hint="eastAsia"/>
          <w:lang w:eastAsia="zh-CN"/>
        </w:rPr>
        <w:t>Conclusion</w:t>
      </w:r>
    </w:p>
    <w:p w14:paraId="53481916" w14:textId="12532A4B" w:rsidR="00A62444" w:rsidRPr="00A62444" w:rsidRDefault="001E5734" w:rsidP="00A62444">
      <w:pPr>
        <w:pStyle w:val="BodyText"/>
        <w:rPr>
          <w:lang w:eastAsia="zh-CN"/>
        </w:rPr>
      </w:pPr>
      <w:r>
        <w:t xml:space="preserve">This project examined long-term trends in U.S. primary energy consumption, sectoral growth patterns, and the </w:t>
      </w:r>
      <w:r>
        <w:t>predictive relationship between transportation and electric power consumption. Results show that total U.S. energy consumption increased substantially from 1975 through the early 2000s before stabilizing after 2008. The electric power sector exhibited the fastest growth rate, increasing by approximately 80.6% over the study period. Linear regression results further demonstrated that transportation energy consumption is a strong predictor of electric power demand. These findings highlight the increasing interconnectedness between transportation and electricity systems and emphasize the importance of electrification in future U.S. energy planning.</w:t>
      </w:r>
    </w:p>
    <w:p w14:paraId="1B027D5D" w14:textId="77777777" w:rsidR="009303D9" w:rsidRDefault="009303D9" w:rsidP="00A059B3">
      <w:pPr>
        <w:pStyle w:val="Heading5"/>
      </w:pPr>
      <w:r w:rsidRPr="00D97DD7">
        <w:t>References</w:t>
      </w:r>
    </w:p>
    <w:p w14:paraId="5E4C8DA5" w14:textId="16CB60B0" w:rsidR="00861DD0" w:rsidRPr="00861DD0" w:rsidRDefault="00861DD0" w:rsidP="00861DD0">
      <w:pPr>
        <w:jc w:val="both"/>
        <w:rPr>
          <w:sz w:val="24"/>
          <w:szCs w:val="24"/>
        </w:rPr>
      </w:pPr>
      <w:r>
        <w:t>[1]</w:t>
      </w:r>
      <w:r>
        <w:rPr>
          <w:sz w:val="24"/>
          <w:szCs w:val="24"/>
        </w:rPr>
        <w:tab/>
      </w:r>
      <w:r>
        <w:rPr>
          <w:sz w:val="24"/>
          <w:szCs w:val="24"/>
        </w:rPr>
        <w:tab/>
      </w:r>
      <w:r>
        <w:t xml:space="preserve">“Primary energy consumption in the United States in selected years from 1975 to 2024, by sector,” </w:t>
      </w:r>
      <w:r>
        <w:rPr>
          <w:i/>
          <w:iCs/>
        </w:rPr>
        <w:t>Statista</w:t>
      </w:r>
      <w:r>
        <w:t>, Jun. 2025. https://www.statista.com/statistics/239782/primary-energy-consumption-in-the-united-states-by-sector/</w:t>
      </w:r>
    </w:p>
    <w:p w14:paraId="5174512D" w14:textId="2F33E3CA" w:rsidR="00861DD0" w:rsidRDefault="00861DD0" w:rsidP="00861DD0">
      <w:pPr>
        <w:jc w:val="both"/>
      </w:pPr>
      <w:r>
        <w:t>[2]</w:t>
      </w:r>
      <w:r>
        <w:tab/>
      </w:r>
      <w:r>
        <w:tab/>
        <w:t xml:space="preserve">EIA, “U.S. Energy Information Administration (EIA) - Total Energy Monthly Data,” </w:t>
      </w:r>
      <w:r>
        <w:rPr>
          <w:i/>
          <w:iCs/>
        </w:rPr>
        <w:t>Eia.gov</w:t>
      </w:r>
      <w:r>
        <w:t>, 2025. https://www.eia.gov/totalenergy/data/monthly/</w:t>
      </w:r>
    </w:p>
    <w:p w14:paraId="1BF43ED9" w14:textId="79C4B2E7" w:rsidR="00861DD0" w:rsidRDefault="00861DD0" w:rsidP="00861DD0">
      <w:pPr>
        <w:jc w:val="both"/>
      </w:pPr>
      <w:r>
        <w:t>[3]</w:t>
      </w:r>
      <w:r>
        <w:tab/>
      </w:r>
      <w:r>
        <w:tab/>
        <w:t xml:space="preserve">G. James, D. Witten, T. Hastie, R. Tibshirani, and J. Taylor, </w:t>
      </w:r>
      <w:r>
        <w:rPr>
          <w:i/>
          <w:iCs/>
        </w:rPr>
        <w:t>An Introduction to Statistical Learning</w:t>
      </w:r>
      <w:r>
        <w:t>. Springer, 2023. doi: https://doi.org/10.1007/978-3-031-38747-0.</w:t>
      </w:r>
    </w:p>
    <w:p w14:paraId="3CF3E7FD" w14:textId="77777777" w:rsidR="00861DD0" w:rsidRPr="00861DD0" w:rsidRDefault="00861DD0" w:rsidP="00861DD0"/>
    <w:p w14:paraId="6A84367C" w14:textId="421FDA0C"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2354D9">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 </w:t>
      </w:r>
    </w:p>
    <w:p w14:paraId="6D2B34BF" w14:textId="618EB5DD" w:rsidR="009303D9" w:rsidRPr="00D97DD7" w:rsidRDefault="009303D9" w:rsidP="005B520E"/>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25A1A96" w14:textId="77777777" w:rsidR="00734E07" w:rsidRDefault="00734E07" w:rsidP="001A3B3D">
      <w:r>
        <w:separator/>
      </w:r>
    </w:p>
  </w:endnote>
  <w:endnote w:type="continuationSeparator" w:id="0">
    <w:p w14:paraId="2632A0C4" w14:textId="77777777" w:rsidR="00734E07" w:rsidRDefault="00734E0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DengXian Light">
    <w:altName w:val="等线 Light"/>
    <w:charset w:characterSet="GBK"/>
    <w:family w:val="auto"/>
    <w:pitch w:val="variable"/>
    <w:sig w:usb0="A00002BF" w:usb1="38CF7CFA" w:usb2="00000016" w:usb3="00000000" w:csb0="0004000F"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33342E6C" w14:textId="77777777" w:rsidR="00734E07" w:rsidRDefault="00734E07" w:rsidP="001A3B3D">
      <w:r>
        <w:separator/>
      </w:r>
    </w:p>
  </w:footnote>
  <w:footnote w:type="continuationSeparator" w:id="0">
    <w:p w14:paraId="4FA3B04A" w14:textId="77777777" w:rsidR="00734E07" w:rsidRDefault="00734E0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4"/>
  </w:num>
  <w:num w:numId="2" w16cid:durableId="870191183">
    <w:abstractNumId w:val="19"/>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0"/>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grammar="clean"/>
  <w:defaultTabStop w:val="14.40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A1492"/>
    <w:rsid w:val="000B0EE3"/>
    <w:rsid w:val="000B7CF6"/>
    <w:rsid w:val="000C1E68"/>
    <w:rsid w:val="000E47FB"/>
    <w:rsid w:val="000E6C32"/>
    <w:rsid w:val="0010267B"/>
    <w:rsid w:val="00104EA5"/>
    <w:rsid w:val="00130947"/>
    <w:rsid w:val="00146FEB"/>
    <w:rsid w:val="0015499D"/>
    <w:rsid w:val="001A2EFD"/>
    <w:rsid w:val="001A3B3D"/>
    <w:rsid w:val="001B2121"/>
    <w:rsid w:val="001B67DC"/>
    <w:rsid w:val="001C55BE"/>
    <w:rsid w:val="001D156D"/>
    <w:rsid w:val="001D3E36"/>
    <w:rsid w:val="001E0307"/>
    <w:rsid w:val="001E5734"/>
    <w:rsid w:val="00215ADC"/>
    <w:rsid w:val="002254A9"/>
    <w:rsid w:val="00233D97"/>
    <w:rsid w:val="002347A2"/>
    <w:rsid w:val="002354D9"/>
    <w:rsid w:val="0023739F"/>
    <w:rsid w:val="002850E3"/>
    <w:rsid w:val="002A70CB"/>
    <w:rsid w:val="002D6E59"/>
    <w:rsid w:val="002E1971"/>
    <w:rsid w:val="00337415"/>
    <w:rsid w:val="00354FCF"/>
    <w:rsid w:val="003638C2"/>
    <w:rsid w:val="00366F43"/>
    <w:rsid w:val="003A0E8D"/>
    <w:rsid w:val="003A19E2"/>
    <w:rsid w:val="003A2D56"/>
    <w:rsid w:val="003B2B40"/>
    <w:rsid w:val="003B4E04"/>
    <w:rsid w:val="003E60C8"/>
    <w:rsid w:val="003F5A08"/>
    <w:rsid w:val="00413BB5"/>
    <w:rsid w:val="00420716"/>
    <w:rsid w:val="0042337C"/>
    <w:rsid w:val="00431B6E"/>
    <w:rsid w:val="004325FB"/>
    <w:rsid w:val="00435314"/>
    <w:rsid w:val="00436B82"/>
    <w:rsid w:val="004432BA"/>
    <w:rsid w:val="0044407E"/>
    <w:rsid w:val="00447BB9"/>
    <w:rsid w:val="0046031D"/>
    <w:rsid w:val="00473AC9"/>
    <w:rsid w:val="0048216D"/>
    <w:rsid w:val="004945C4"/>
    <w:rsid w:val="004C6AEC"/>
    <w:rsid w:val="004D6F37"/>
    <w:rsid w:val="004D72B5"/>
    <w:rsid w:val="005002C0"/>
    <w:rsid w:val="005144E0"/>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03286"/>
    <w:rsid w:val="00715BEA"/>
    <w:rsid w:val="0073221B"/>
    <w:rsid w:val="00734E07"/>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61DD0"/>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468F9"/>
    <w:rsid w:val="00A62444"/>
    <w:rsid w:val="00A71C34"/>
    <w:rsid w:val="00A83C5B"/>
    <w:rsid w:val="00AB7B44"/>
    <w:rsid w:val="00AE3409"/>
    <w:rsid w:val="00B10A14"/>
    <w:rsid w:val="00B11A60"/>
    <w:rsid w:val="00B13315"/>
    <w:rsid w:val="00B22613"/>
    <w:rsid w:val="00B272CE"/>
    <w:rsid w:val="00B445DA"/>
    <w:rsid w:val="00B44A76"/>
    <w:rsid w:val="00B6733E"/>
    <w:rsid w:val="00B768D1"/>
    <w:rsid w:val="00B83FFC"/>
    <w:rsid w:val="00B924E1"/>
    <w:rsid w:val="00BA1025"/>
    <w:rsid w:val="00BA5E12"/>
    <w:rsid w:val="00BA70AC"/>
    <w:rsid w:val="00BC3420"/>
    <w:rsid w:val="00BD670B"/>
    <w:rsid w:val="00BE7D3C"/>
    <w:rsid w:val="00BF5FF6"/>
    <w:rsid w:val="00BF7B0B"/>
    <w:rsid w:val="00C0207F"/>
    <w:rsid w:val="00C03B9D"/>
    <w:rsid w:val="00C04794"/>
    <w:rsid w:val="00C10EEC"/>
    <w:rsid w:val="00C16117"/>
    <w:rsid w:val="00C17148"/>
    <w:rsid w:val="00C234BB"/>
    <w:rsid w:val="00C3075A"/>
    <w:rsid w:val="00C4076F"/>
    <w:rsid w:val="00C81954"/>
    <w:rsid w:val="00C82AFD"/>
    <w:rsid w:val="00C919A4"/>
    <w:rsid w:val="00C93390"/>
    <w:rsid w:val="00CA1218"/>
    <w:rsid w:val="00CA43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53288"/>
    <w:rsid w:val="00F627DA"/>
    <w:rsid w:val="00F7288F"/>
    <w:rsid w:val="00F84081"/>
    <w:rsid w:val="00F847A6"/>
    <w:rsid w:val="00F848FB"/>
    <w:rsid w:val="00F9441B"/>
    <w:rsid w:val="00FA4C32"/>
    <w:rsid w:val="00FB63FB"/>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paragraph" w:styleId="Heading6">
    <w:name w:val="heading 6"/>
    <w:basedOn w:val="Normal"/>
    <w:next w:val="Normal"/>
    <w:link w:val="Heading6Char"/>
    <w:semiHidden/>
    <w:unhideWhenUsed/>
    <w:qFormat/>
    <w:rsid w:val="00413BB5"/>
    <w:pPr>
      <w:keepNext/>
      <w:keepLines/>
      <w:spacing w:before="2pt"/>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uiPriority w:val="20"/>
    <w:qFormat/>
    <w:rsid w:val="00B83FFC"/>
    <w:rPr>
      <w:i/>
      <w:iCs/>
    </w:rPr>
  </w:style>
  <w:style w:type="character" w:styleId="Strong">
    <w:name w:val="Strong"/>
    <w:basedOn w:val="DefaultParagraphFont"/>
    <w:uiPriority w:val="22"/>
    <w:qFormat/>
    <w:rsid w:val="00A468F9"/>
    <w:rPr>
      <w:b/>
      <w:bCs/>
    </w:rPr>
  </w:style>
  <w:style w:type="character" w:customStyle="1" w:styleId="Heading6Char">
    <w:name w:val="Heading 6 Char"/>
    <w:basedOn w:val="DefaultParagraphFont"/>
    <w:link w:val="Heading6"/>
    <w:semiHidden/>
    <w:rsid w:val="00413BB5"/>
    <w:rPr>
      <w:rFonts w:asciiTheme="majorHAnsi" w:eastAsiaTheme="majorEastAsia" w:hAnsiTheme="majorHAnsi" w:cstheme="majorBidi"/>
      <w:color w:val="1F4D78" w:themeColor="accent1" w:themeShade="7F"/>
    </w:rPr>
  </w:style>
  <w:style w:type="character" w:styleId="PlaceholderText">
    <w:name w:val="Placeholder Text"/>
    <w:basedOn w:val="DefaultParagraphFont"/>
    <w:uiPriority w:val="99"/>
    <w:semiHidden/>
    <w:rsid w:val="00FB63FB"/>
    <w:rPr>
      <w:color w:val="808080"/>
    </w:rPr>
  </w:style>
  <w:style w:type="table" w:styleId="TableGrid">
    <w:name w:val="Table Grid"/>
    <w:basedOn w:val="TableNormal"/>
    <w:rsid w:val="002354D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8319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63447157">
          <w:marLeft w:val="0pt"/>
          <w:marRight w:val="0pt"/>
          <w:marTop w:val="0pt"/>
          <w:marBottom w:val="0pt"/>
          <w:divBdr>
            <w:top w:val="none" w:sz="0" w:space="0" w:color="auto"/>
            <w:left w:val="none" w:sz="0" w:space="0" w:color="auto"/>
            <w:bottom w:val="none" w:sz="0" w:space="0" w:color="auto"/>
            <w:right w:val="none" w:sz="0" w:space="0" w:color="auto"/>
          </w:divBdr>
          <w:divsChild>
            <w:div w:id="1159537401">
              <w:marLeft w:val="0pt"/>
              <w:marRight w:val="0pt"/>
              <w:marTop w:val="0pt"/>
              <w:marBottom w:val="0pt"/>
              <w:divBdr>
                <w:top w:val="none" w:sz="0" w:space="0" w:color="auto"/>
                <w:left w:val="none" w:sz="0" w:space="0" w:color="auto"/>
                <w:bottom w:val="none" w:sz="0" w:space="0" w:color="auto"/>
                <w:right w:val="none" w:sz="0" w:space="0" w:color="auto"/>
              </w:divBdr>
              <w:divsChild>
                <w:div w:id="996302573">
                  <w:marLeft w:val="0pt"/>
                  <w:marRight w:val="0pt"/>
                  <w:marTop w:val="0pt"/>
                  <w:marBottom w:val="0pt"/>
                  <w:divBdr>
                    <w:top w:val="none" w:sz="0" w:space="0" w:color="auto"/>
                    <w:left w:val="none" w:sz="0" w:space="0" w:color="auto"/>
                    <w:bottom w:val="none" w:sz="0" w:space="0" w:color="auto"/>
                    <w:right w:val="none" w:sz="0" w:space="0" w:color="auto"/>
                  </w:divBdr>
                  <w:divsChild>
                    <w:div w:id="1927153886">
                      <w:marLeft w:val="0pt"/>
                      <w:marRight w:val="0pt"/>
                      <w:marTop w:val="0pt"/>
                      <w:marBottom w:val="0pt"/>
                      <w:divBdr>
                        <w:top w:val="none" w:sz="0" w:space="0" w:color="auto"/>
                        <w:left w:val="none" w:sz="0" w:space="0" w:color="auto"/>
                        <w:bottom w:val="none" w:sz="0" w:space="0" w:color="auto"/>
                        <w:right w:val="none" w:sz="0" w:space="0" w:color="auto"/>
                      </w:divBdr>
                      <w:divsChild>
                        <w:div w:id="628703208">
                          <w:marLeft w:val="0pt"/>
                          <w:marRight w:val="0pt"/>
                          <w:marTop w:val="0pt"/>
                          <w:marBottom w:val="0pt"/>
                          <w:divBdr>
                            <w:top w:val="none" w:sz="0" w:space="0" w:color="auto"/>
                            <w:left w:val="none" w:sz="0" w:space="0" w:color="auto"/>
                            <w:bottom w:val="none" w:sz="0" w:space="0" w:color="auto"/>
                            <w:right w:val="none" w:sz="0" w:space="0" w:color="auto"/>
                          </w:divBdr>
                          <w:divsChild>
                            <w:div w:id="306784934">
                              <w:marLeft w:val="0pt"/>
                              <w:marRight w:val="0pt"/>
                              <w:marTop w:val="0pt"/>
                              <w:marBottom w:val="0pt"/>
                              <w:divBdr>
                                <w:top w:val="none" w:sz="0" w:space="0" w:color="auto"/>
                                <w:left w:val="none" w:sz="0" w:space="0" w:color="auto"/>
                                <w:bottom w:val="none" w:sz="0" w:space="0" w:color="auto"/>
                                <w:right w:val="none" w:sz="0" w:space="0" w:color="auto"/>
                              </w:divBdr>
                              <w:divsChild>
                                <w:div w:id="1648122400">
                                  <w:marLeft w:val="0pt"/>
                                  <w:marRight w:val="0pt"/>
                                  <w:marTop w:val="0pt"/>
                                  <w:marBottom w:val="0pt"/>
                                  <w:divBdr>
                                    <w:top w:val="none" w:sz="0" w:space="0" w:color="auto"/>
                                    <w:left w:val="none" w:sz="0" w:space="0" w:color="auto"/>
                                    <w:bottom w:val="none" w:sz="0" w:space="0" w:color="auto"/>
                                    <w:right w:val="none" w:sz="0" w:space="0" w:color="auto"/>
                                  </w:divBdr>
                                  <w:divsChild>
                                    <w:div w:id="840043123">
                                      <w:marLeft w:val="0pt"/>
                                      <w:marRight w:val="0pt"/>
                                      <w:marTop w:val="0pt"/>
                                      <w:marBottom w:val="0pt"/>
                                      <w:divBdr>
                                        <w:top w:val="none" w:sz="0" w:space="0" w:color="auto"/>
                                        <w:left w:val="none" w:sz="0" w:space="0" w:color="auto"/>
                                        <w:bottom w:val="none" w:sz="0" w:space="0" w:color="auto"/>
                                        <w:right w:val="none" w:sz="0" w:space="0" w:color="auto"/>
                                      </w:divBdr>
                                      <w:divsChild>
                                        <w:div w:id="1570534913">
                                          <w:marLeft w:val="0pt"/>
                                          <w:marRight w:val="0pt"/>
                                          <w:marTop w:val="0pt"/>
                                          <w:marBottom w:val="0pt"/>
                                          <w:divBdr>
                                            <w:top w:val="none" w:sz="0" w:space="0" w:color="auto"/>
                                            <w:left w:val="none" w:sz="0" w:space="0" w:color="auto"/>
                                            <w:bottom w:val="none" w:sz="0" w:space="0" w:color="auto"/>
                                            <w:right w:val="none" w:sz="0" w:space="0" w:color="auto"/>
                                          </w:divBdr>
                                          <w:divsChild>
                                            <w:div w:id="97800650">
                                              <w:marLeft w:val="0pt"/>
                                              <w:marRight w:val="0pt"/>
                                              <w:marTop w:val="0pt"/>
                                              <w:marBottom w:val="0pt"/>
                                              <w:divBdr>
                                                <w:top w:val="none" w:sz="0" w:space="0" w:color="auto"/>
                                                <w:left w:val="none" w:sz="0" w:space="0" w:color="auto"/>
                                                <w:bottom w:val="none" w:sz="0" w:space="0" w:color="auto"/>
                                                <w:right w:val="none" w:sz="0" w:space="0" w:color="auto"/>
                                              </w:divBdr>
                                              <w:divsChild>
                                                <w:div w:id="85199313">
                                                  <w:blockQuote w:val="1"/>
                                                  <w:marLeft w:val="36pt"/>
                                                  <w:marRight w:val="36pt"/>
                                                  <w:marTop w:val="5pt"/>
                                                  <w:marBottom w:val="5pt"/>
                                                  <w:divBdr>
                                                    <w:top w:val="none" w:sz="0" w:space="0" w:color="auto"/>
                                                    <w:left w:val="none" w:sz="0" w:space="0" w:color="auto"/>
                                                    <w:bottom w:val="none" w:sz="0" w:space="0" w:color="auto"/>
                                                    <w:right w:val="none" w:sz="0" w:space="0" w:color="auto"/>
                                                  </w:divBdr>
                                                </w:div>
                                                <w:div w:id="781412737">
                                                  <w:blockQuote w:val="1"/>
                                                  <w:marLeft w:val="36pt"/>
                                                  <w:marRight w:val="36pt"/>
                                                  <w:marTop w:val="5pt"/>
                                                  <w:marBottom w:val="5pt"/>
                                                  <w:divBdr>
                                                    <w:top w:val="none" w:sz="0" w:space="0" w:color="auto"/>
                                                    <w:left w:val="none" w:sz="0" w:space="0" w:color="auto"/>
                                                    <w:bottom w:val="none" w:sz="0" w:space="0" w:color="auto"/>
                                                    <w:right w:val="none" w:sz="0" w:space="0" w:color="auto"/>
                                                  </w:divBdr>
                                                </w:div>
                                                <w:div w:id="391196162">
                                                  <w:blockQuote w:val="1"/>
                                                  <w:marLeft w:val="36pt"/>
                                                  <w:marRight w:val="36pt"/>
                                                  <w:marTop w:val="5pt"/>
                                                  <w:marBottom w:val="5pt"/>
                                                  <w:divBdr>
                                                    <w:top w:val="none" w:sz="0" w:space="0" w:color="auto"/>
                                                    <w:left w:val="none" w:sz="0" w:space="0" w:color="auto"/>
                                                    <w:bottom w:val="none" w:sz="0" w:space="0" w:color="auto"/>
                                                    <w:right w:val="none" w:sz="0" w:space="0" w:color="auto"/>
                                                  </w:divBdr>
                                                </w:div>
                                                <w:div w:id="40516168">
                                                  <w:blockQuote w:val="1"/>
                                                  <w:marLeft w:val="36pt"/>
                                                  <w:marRight w:val="36pt"/>
                                                  <w:marTop w:val="5pt"/>
                                                  <w:marBottom w:val="5pt"/>
                                                  <w:divBdr>
                                                    <w:top w:val="none" w:sz="0" w:space="0" w:color="auto"/>
                                                    <w:left w:val="none" w:sz="0" w:space="0" w:color="auto"/>
                                                    <w:bottom w:val="none" w:sz="0" w:space="0" w:color="auto"/>
                                                    <w:right w:val="none" w:sz="0" w:space="0" w:color="auto"/>
                                                  </w:divBdr>
                                                </w:div>
                                                <w:div w:id="1672173440">
                                                  <w:blockQuote w:val="1"/>
                                                  <w:marLeft w:val="36pt"/>
                                                  <w:marRight w:val="36pt"/>
                                                  <w:marTop w:val="5pt"/>
                                                  <w:marBottom w:val="5pt"/>
                                                  <w:divBdr>
                                                    <w:top w:val="none" w:sz="0" w:space="0" w:color="auto"/>
                                                    <w:left w:val="none" w:sz="0" w:space="0" w:color="auto"/>
                                                    <w:bottom w:val="none" w:sz="0" w:space="0" w:color="auto"/>
                                                    <w:right w:val="none" w:sz="0" w:space="0" w:color="auto"/>
                                                  </w:divBdr>
                                                </w:div>
                                                <w:div w:id="2058124211">
                                                  <w:blockQuote w:val="1"/>
                                                  <w:marLeft w:val="36pt"/>
                                                  <w:marRight w:val="36pt"/>
                                                  <w:marTop w:val="5pt"/>
                                                  <w:marBottom w:val="5pt"/>
                                                  <w:divBdr>
                                                    <w:top w:val="none" w:sz="0" w:space="0" w:color="auto"/>
                                                    <w:left w:val="none" w:sz="0" w:space="0" w:color="auto"/>
                                                    <w:bottom w:val="none" w:sz="0" w:space="0" w:color="auto"/>
                                                    <w:right w:val="none" w:sz="0" w:space="0" w:color="auto"/>
                                                  </w:divBdr>
                                                </w:div>
                                                <w:div w:id="522985597">
                                                  <w:blockQuote w:val="1"/>
                                                  <w:marLeft w:val="36pt"/>
                                                  <w:marRight w:val="36pt"/>
                                                  <w:marTop w:val="5pt"/>
                                                  <w:marBottom w:val="5pt"/>
                                                  <w:divBdr>
                                                    <w:top w:val="none" w:sz="0" w:space="0" w:color="auto"/>
                                                    <w:left w:val="none" w:sz="0" w:space="0" w:color="auto"/>
                                                    <w:bottom w:val="none" w:sz="0" w:space="0" w:color="auto"/>
                                                    <w:right w:val="none" w:sz="0" w:space="0" w:color="auto"/>
                                                  </w:divBdr>
                                                </w:div>
                                                <w:div w:id="2032219855">
                                                  <w:blockQuote w:val="1"/>
                                                  <w:marLeft w:val="36pt"/>
                                                  <w:marRight w:val="36pt"/>
                                                  <w:marTop w:val="5pt"/>
                                                  <w:marBottom w:val="5pt"/>
                                                  <w:divBdr>
                                                    <w:top w:val="none" w:sz="0" w:space="0" w:color="auto"/>
                                                    <w:left w:val="none" w:sz="0" w:space="0" w:color="auto"/>
                                                    <w:bottom w:val="none" w:sz="0" w:space="0" w:color="auto"/>
                                                    <w:right w:val="none" w:sz="0" w:space="0" w:color="auto"/>
                                                  </w:divBdr>
                                                </w:div>
                                                <w:div w:id="1050108813">
                                                  <w:blockQuote w:val="1"/>
                                                  <w:marLeft w:val="36pt"/>
                                                  <w:marRight w:val="36pt"/>
                                                  <w:marTop w:val="5pt"/>
                                                  <w:marBottom w:val="5pt"/>
                                                  <w:divBdr>
                                                    <w:top w:val="none" w:sz="0" w:space="0" w:color="auto"/>
                                                    <w:left w:val="none" w:sz="0" w:space="0" w:color="auto"/>
                                                    <w:bottom w:val="none" w:sz="0" w:space="0" w:color="auto"/>
                                                    <w:right w:val="none" w:sz="0" w:space="0" w:color="auto"/>
                                                  </w:divBdr>
                                                </w:div>
                                                <w:div w:id="980889352">
                                                  <w:blockQuote w:val="1"/>
                                                  <w:marLeft w:val="36pt"/>
                                                  <w:marRight w:val="36pt"/>
                                                  <w:marTop w:val="5pt"/>
                                                  <w:marBottom w:val="5pt"/>
                                                  <w:divBdr>
                                                    <w:top w:val="none" w:sz="0" w:space="0" w:color="auto"/>
                                                    <w:left w:val="none" w:sz="0" w:space="0" w:color="auto"/>
                                                    <w:bottom w:val="none" w:sz="0" w:space="0" w:color="auto"/>
                                                    <w:right w:val="none" w:sz="0" w:space="0" w:color="auto"/>
                                                  </w:divBdr>
                                                </w:div>
                                                <w:div w:id="1653752498">
                                                  <w:blockQuote w:val="1"/>
                                                  <w:marLeft w:val="36pt"/>
                                                  <w:marRight w:val="36pt"/>
                                                  <w:marTop w:val="5pt"/>
                                                  <w:marBottom w:val="5pt"/>
                                                  <w:divBdr>
                                                    <w:top w:val="none" w:sz="0" w:space="0" w:color="auto"/>
                                                    <w:left w:val="none" w:sz="0" w:space="0" w:color="auto"/>
                                                    <w:bottom w:val="none" w:sz="0" w:space="0" w:color="auto"/>
                                                    <w:right w:val="none" w:sz="0" w:space="0" w:color="auto"/>
                                                  </w:divBdr>
                                                </w:div>
                                                <w:div w:id="2097941722">
                                                  <w:blockQuote w:val="1"/>
                                                  <w:marLeft w:val="36pt"/>
                                                  <w:marRight w:val="36pt"/>
                                                  <w:marTop w:val="5pt"/>
                                                  <w:marBottom w:val="5pt"/>
                                                  <w:divBdr>
                                                    <w:top w:val="none" w:sz="0" w:space="0" w:color="auto"/>
                                                    <w:left w:val="none" w:sz="0" w:space="0" w:color="auto"/>
                                                    <w:bottom w:val="none" w:sz="0" w:space="0" w:color="auto"/>
                                                    <w:right w:val="none" w:sz="0" w:space="0" w:color="auto"/>
                                                  </w:divBdr>
                                                </w:div>
                                                <w:div w:id="167525307">
                                                  <w:blockQuote w:val="1"/>
                                                  <w:marLeft w:val="36pt"/>
                                                  <w:marRight w:val="36pt"/>
                                                  <w:marTop w:val="5pt"/>
                                                  <w:marBottom w:val="5pt"/>
                                                  <w:divBdr>
                                                    <w:top w:val="none" w:sz="0" w:space="0" w:color="auto"/>
                                                    <w:left w:val="none" w:sz="0" w:space="0" w:color="auto"/>
                                                    <w:bottom w:val="none" w:sz="0" w:space="0" w:color="auto"/>
                                                    <w:right w:val="none" w:sz="0" w:space="0" w:color="auto"/>
                                                  </w:divBdr>
                                                </w:div>
                                                <w:div w:id="547423086">
                                                  <w:blockQuote w:val="1"/>
                                                  <w:marLeft w:val="36pt"/>
                                                  <w:marRight w:val="36pt"/>
                                                  <w:marTop w:val="5pt"/>
                                                  <w:marBottom w:val="5pt"/>
                                                  <w:divBdr>
                                                    <w:top w:val="none" w:sz="0" w:space="0" w:color="auto"/>
                                                    <w:left w:val="none" w:sz="0" w:space="0" w:color="auto"/>
                                                    <w:bottom w:val="none" w:sz="0" w:space="0" w:color="auto"/>
                                                    <w:right w:val="none" w:sz="0" w:space="0" w:color="auto"/>
                                                  </w:divBdr>
                                                </w:div>
                                                <w:div w:id="676737434">
                                                  <w:blockQuote w:val="1"/>
                                                  <w:marLeft w:val="36pt"/>
                                                  <w:marRight w:val="36pt"/>
                                                  <w:marTop w:val="5pt"/>
                                                  <w:marBottom w:val="5pt"/>
                                                  <w:divBdr>
                                                    <w:top w:val="none" w:sz="0" w:space="0" w:color="auto"/>
                                                    <w:left w:val="none" w:sz="0" w:space="0" w:color="auto"/>
                                                    <w:bottom w:val="none" w:sz="0" w:space="0" w:color="auto"/>
                                                    <w:right w:val="none" w:sz="0" w:space="0" w:color="auto"/>
                                                  </w:divBdr>
                                                </w:div>
                                                <w:div w:id="610749747">
                                                  <w:blockQuote w:val="1"/>
                                                  <w:marLeft w:val="36pt"/>
                                                  <w:marRight w:val="36pt"/>
                                                  <w:marTop w:val="5pt"/>
                                                  <w:marBottom w:val="5pt"/>
                                                  <w:divBdr>
                                                    <w:top w:val="none" w:sz="0" w:space="0" w:color="auto"/>
                                                    <w:left w:val="none" w:sz="0" w:space="0" w:color="auto"/>
                                                    <w:bottom w:val="none" w:sz="0" w:space="0" w:color="auto"/>
                                                    <w:right w:val="none" w:sz="0" w:space="0" w:color="auto"/>
                                                  </w:divBdr>
                                                </w:div>
                                                <w:div w:id="364797028">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sChild>
                                        </w:div>
                                      </w:divsChild>
                                    </w:div>
                                  </w:divsChild>
                                </w:div>
                                <w:div w:id="298921541">
                                  <w:marLeft w:val="0pt"/>
                                  <w:marRight w:val="0pt"/>
                                  <w:marTop w:val="0pt"/>
                                  <w:marBottom w:val="0pt"/>
                                  <w:divBdr>
                                    <w:top w:val="none" w:sz="0" w:space="0" w:color="auto"/>
                                    <w:left w:val="none" w:sz="0" w:space="0" w:color="auto"/>
                                    <w:bottom w:val="none" w:sz="0" w:space="0" w:color="auto"/>
                                    <w:right w:val="none" w:sz="0" w:space="0" w:color="auto"/>
                                  </w:divBdr>
                                  <w:divsChild>
                                    <w:div w:id="1607955838">
                                      <w:marLeft w:val="0pt"/>
                                      <w:marRight w:val="0pt"/>
                                      <w:marTop w:val="0pt"/>
                                      <w:marBottom w:val="0pt"/>
                                      <w:divBdr>
                                        <w:top w:val="none" w:sz="0" w:space="0" w:color="auto"/>
                                        <w:left w:val="none" w:sz="0" w:space="0" w:color="auto"/>
                                        <w:bottom w:val="none" w:sz="0" w:space="0" w:color="auto"/>
                                        <w:right w:val="none" w:sz="0" w:space="0" w:color="auto"/>
                                      </w:divBdr>
                                      <w:divsChild>
                                        <w:div w:id="4961162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221477853">
                          <w:marLeft w:val="0pt"/>
                          <w:marRight w:val="0pt"/>
                          <w:marTop w:val="0pt"/>
                          <w:marBottom w:val="0pt"/>
                          <w:divBdr>
                            <w:top w:val="none" w:sz="0" w:space="0" w:color="auto"/>
                            <w:left w:val="none" w:sz="0" w:space="0" w:color="auto"/>
                            <w:bottom w:val="none" w:sz="0" w:space="0" w:color="auto"/>
                            <w:right w:val="none" w:sz="0" w:space="0" w:color="auto"/>
                          </w:divBdr>
                          <w:divsChild>
                            <w:div w:id="439223215">
                              <w:marLeft w:val="0pt"/>
                              <w:marRight w:val="0pt"/>
                              <w:marTop w:val="0pt"/>
                              <w:marBottom w:val="0pt"/>
                              <w:divBdr>
                                <w:top w:val="none" w:sz="0" w:space="0" w:color="auto"/>
                                <w:left w:val="none" w:sz="0" w:space="0" w:color="auto"/>
                                <w:bottom w:val="none" w:sz="0" w:space="0" w:color="auto"/>
                                <w:right w:val="none" w:sz="0" w:space="0" w:color="auto"/>
                              </w:divBdr>
                              <w:divsChild>
                                <w:div w:id="580410992">
                                  <w:marLeft w:val="0pt"/>
                                  <w:marRight w:val="0pt"/>
                                  <w:marTop w:val="0pt"/>
                                  <w:marBottom w:val="0pt"/>
                                  <w:divBdr>
                                    <w:top w:val="none" w:sz="0" w:space="0" w:color="auto"/>
                                    <w:left w:val="none" w:sz="0" w:space="0" w:color="auto"/>
                                    <w:bottom w:val="none" w:sz="0" w:space="0" w:color="auto"/>
                                    <w:right w:val="none" w:sz="0" w:space="0" w:color="auto"/>
                                  </w:divBdr>
                                  <w:divsChild>
                                    <w:div w:id="1116608067">
                                      <w:marLeft w:val="0pt"/>
                                      <w:marRight w:val="0pt"/>
                                      <w:marTop w:val="0pt"/>
                                      <w:marBottom w:val="0pt"/>
                                      <w:divBdr>
                                        <w:top w:val="none" w:sz="0" w:space="0" w:color="auto"/>
                                        <w:left w:val="none" w:sz="0" w:space="0" w:color="auto"/>
                                        <w:bottom w:val="none" w:sz="0" w:space="0" w:color="auto"/>
                                        <w:right w:val="none" w:sz="0" w:space="0" w:color="auto"/>
                                      </w:divBdr>
                                      <w:divsChild>
                                        <w:div w:id="1381786484">
                                          <w:marLeft w:val="0pt"/>
                                          <w:marRight w:val="0pt"/>
                                          <w:marTop w:val="0pt"/>
                                          <w:marBottom w:val="0pt"/>
                                          <w:divBdr>
                                            <w:top w:val="none" w:sz="0" w:space="0" w:color="auto"/>
                                            <w:left w:val="none" w:sz="0" w:space="0" w:color="auto"/>
                                            <w:bottom w:val="none" w:sz="0" w:space="0" w:color="auto"/>
                                            <w:right w:val="none" w:sz="0" w:space="0" w:color="auto"/>
                                          </w:divBdr>
                                        </w:div>
                                        <w:div w:id="162746145">
                                          <w:marLeft w:val="0pt"/>
                                          <w:marRight w:val="0pt"/>
                                          <w:marTop w:val="0pt"/>
                                          <w:marBottom w:val="0pt"/>
                                          <w:divBdr>
                                            <w:top w:val="none" w:sz="0" w:space="0" w:color="auto"/>
                                            <w:left w:val="none" w:sz="0" w:space="0" w:color="auto"/>
                                            <w:bottom w:val="none" w:sz="0" w:space="0" w:color="auto"/>
                                            <w:right w:val="none" w:sz="0" w:space="0" w:color="auto"/>
                                          </w:divBdr>
                                          <w:divsChild>
                                            <w:div w:id="413282724">
                                              <w:marLeft w:val="0pt"/>
                                              <w:marRight w:val="0pt"/>
                                              <w:marTop w:val="0pt"/>
                                              <w:marBottom w:val="0pt"/>
                                              <w:divBdr>
                                                <w:top w:val="none" w:sz="0" w:space="0" w:color="auto"/>
                                                <w:left w:val="none" w:sz="0" w:space="0" w:color="auto"/>
                                                <w:bottom w:val="none" w:sz="0" w:space="0" w:color="auto"/>
                                                <w:right w:val="none" w:sz="0" w:space="0" w:color="auto"/>
                                              </w:divBdr>
                                              <w:divsChild>
                                                <w:div w:id="201071547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807327">
                          <w:marLeft w:val="0pt"/>
                          <w:marRight w:val="0pt"/>
                          <w:marTop w:val="0pt"/>
                          <w:marBottom w:val="0pt"/>
                          <w:divBdr>
                            <w:top w:val="none" w:sz="0" w:space="0" w:color="auto"/>
                            <w:left w:val="none" w:sz="0" w:space="0" w:color="auto"/>
                            <w:bottom w:val="none" w:sz="0" w:space="0" w:color="auto"/>
                            <w:right w:val="none" w:sz="0" w:space="0" w:color="auto"/>
                          </w:divBdr>
                          <w:divsChild>
                            <w:div w:id="581640205">
                              <w:marLeft w:val="0pt"/>
                              <w:marRight w:val="0pt"/>
                              <w:marTop w:val="0pt"/>
                              <w:marBottom w:val="0pt"/>
                              <w:divBdr>
                                <w:top w:val="none" w:sz="0" w:space="0" w:color="auto"/>
                                <w:left w:val="none" w:sz="0" w:space="0" w:color="auto"/>
                                <w:bottom w:val="none" w:sz="0" w:space="0" w:color="auto"/>
                                <w:right w:val="none" w:sz="0" w:space="0" w:color="auto"/>
                              </w:divBdr>
                              <w:divsChild>
                                <w:div w:id="1917595238">
                                  <w:marLeft w:val="0pt"/>
                                  <w:marRight w:val="0pt"/>
                                  <w:marTop w:val="0pt"/>
                                  <w:marBottom w:val="0pt"/>
                                  <w:divBdr>
                                    <w:top w:val="none" w:sz="0" w:space="0" w:color="auto"/>
                                    <w:left w:val="none" w:sz="0" w:space="0" w:color="auto"/>
                                    <w:bottom w:val="none" w:sz="0" w:space="0" w:color="auto"/>
                                    <w:right w:val="none" w:sz="0" w:space="0" w:color="auto"/>
                                  </w:divBdr>
                                  <w:divsChild>
                                    <w:div w:id="433673698">
                                      <w:marLeft w:val="0pt"/>
                                      <w:marRight w:val="0pt"/>
                                      <w:marTop w:val="0pt"/>
                                      <w:marBottom w:val="0pt"/>
                                      <w:divBdr>
                                        <w:top w:val="none" w:sz="0" w:space="0" w:color="auto"/>
                                        <w:left w:val="none" w:sz="0" w:space="0" w:color="auto"/>
                                        <w:bottom w:val="none" w:sz="0" w:space="0" w:color="auto"/>
                                        <w:right w:val="none" w:sz="0" w:space="0" w:color="auto"/>
                                      </w:divBdr>
                                      <w:divsChild>
                                        <w:div w:id="275216520">
                                          <w:marLeft w:val="0pt"/>
                                          <w:marRight w:val="0pt"/>
                                          <w:marTop w:val="0pt"/>
                                          <w:marBottom w:val="0pt"/>
                                          <w:divBdr>
                                            <w:top w:val="none" w:sz="0" w:space="0" w:color="auto"/>
                                            <w:left w:val="none" w:sz="0" w:space="0" w:color="auto"/>
                                            <w:bottom w:val="none" w:sz="0" w:space="0" w:color="auto"/>
                                            <w:right w:val="none" w:sz="0" w:space="0" w:color="auto"/>
                                          </w:divBdr>
                                          <w:divsChild>
                                            <w:div w:id="260336941">
                                              <w:marLeft w:val="0pt"/>
                                              <w:marRight w:val="0pt"/>
                                              <w:marTop w:val="0pt"/>
                                              <w:marBottom w:val="0pt"/>
                                              <w:divBdr>
                                                <w:top w:val="none" w:sz="0" w:space="0" w:color="auto"/>
                                                <w:left w:val="none" w:sz="0" w:space="0" w:color="auto"/>
                                                <w:bottom w:val="none" w:sz="0" w:space="0" w:color="auto"/>
                                                <w:right w:val="none" w:sz="0" w:space="0" w:color="auto"/>
                                              </w:divBdr>
                                              <w:divsChild>
                                                <w:div w:id="1418596675">
                                                  <w:blockQuote w:val="1"/>
                                                  <w:marLeft w:val="36pt"/>
                                                  <w:marRight w:val="36pt"/>
                                                  <w:marTop w:val="5pt"/>
                                                  <w:marBottom w:val="5pt"/>
                                                  <w:divBdr>
                                                    <w:top w:val="none" w:sz="0" w:space="0" w:color="auto"/>
                                                    <w:left w:val="none" w:sz="0" w:space="0" w:color="auto"/>
                                                    <w:bottom w:val="none" w:sz="0" w:space="0" w:color="auto"/>
                                                    <w:right w:val="none" w:sz="0" w:space="0" w:color="auto"/>
                                                  </w:divBdr>
                                                </w:div>
                                                <w:div w:id="1212766778">
                                                  <w:blockQuote w:val="1"/>
                                                  <w:marLeft w:val="36pt"/>
                                                  <w:marRight w:val="36pt"/>
                                                  <w:marTop w:val="5pt"/>
                                                  <w:marBottom w:val="5pt"/>
                                                  <w:divBdr>
                                                    <w:top w:val="none" w:sz="0" w:space="0" w:color="auto"/>
                                                    <w:left w:val="none" w:sz="0" w:space="0" w:color="auto"/>
                                                    <w:bottom w:val="none" w:sz="0" w:space="0" w:color="auto"/>
                                                    <w:right w:val="none" w:sz="0" w:space="0" w:color="auto"/>
                                                  </w:divBdr>
                                                </w:div>
                                                <w:div w:id="10574397">
                                                  <w:blockQuote w:val="1"/>
                                                  <w:marLeft w:val="36pt"/>
                                                  <w:marRight w:val="36pt"/>
                                                  <w:marTop w:val="5pt"/>
                                                  <w:marBottom w:val="5pt"/>
                                                  <w:divBdr>
                                                    <w:top w:val="none" w:sz="0" w:space="0" w:color="auto"/>
                                                    <w:left w:val="none" w:sz="0" w:space="0" w:color="auto"/>
                                                    <w:bottom w:val="none" w:sz="0" w:space="0" w:color="auto"/>
                                                    <w:right w:val="none" w:sz="0" w:space="0" w:color="auto"/>
                                                  </w:divBdr>
                                                </w:div>
                                                <w:div w:id="1595893320">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3804826">
          <w:marLeft w:val="0pt"/>
          <w:marRight w:val="0pt"/>
          <w:marTop w:val="0pt"/>
          <w:marBottom w:val="0pt"/>
          <w:divBdr>
            <w:top w:val="none" w:sz="0" w:space="0" w:color="auto"/>
            <w:left w:val="none" w:sz="0" w:space="0" w:color="auto"/>
            <w:bottom w:val="none" w:sz="0" w:space="0" w:color="auto"/>
            <w:right w:val="none" w:sz="0" w:space="0" w:color="auto"/>
          </w:divBdr>
          <w:divsChild>
            <w:div w:id="104155854">
              <w:marLeft w:val="0pt"/>
              <w:marRight w:val="0pt"/>
              <w:marTop w:val="0pt"/>
              <w:marBottom w:val="0pt"/>
              <w:divBdr>
                <w:top w:val="none" w:sz="0" w:space="0" w:color="auto"/>
                <w:left w:val="none" w:sz="0" w:space="0" w:color="auto"/>
                <w:bottom w:val="none" w:sz="0" w:space="0" w:color="auto"/>
                <w:right w:val="none" w:sz="0" w:space="0" w:color="auto"/>
              </w:divBdr>
              <w:divsChild>
                <w:div w:id="256909514">
                  <w:marLeft w:val="0pt"/>
                  <w:marRight w:val="0pt"/>
                  <w:marTop w:val="0pt"/>
                  <w:marBottom w:val="0pt"/>
                  <w:divBdr>
                    <w:top w:val="none" w:sz="0" w:space="0" w:color="auto"/>
                    <w:left w:val="none" w:sz="0" w:space="0" w:color="auto"/>
                    <w:bottom w:val="none" w:sz="0" w:space="0" w:color="auto"/>
                    <w:right w:val="none" w:sz="0" w:space="0" w:color="auto"/>
                  </w:divBdr>
                  <w:divsChild>
                    <w:div w:id="719129217">
                      <w:marLeft w:val="0pt"/>
                      <w:marRight w:val="0pt"/>
                      <w:marTop w:val="0pt"/>
                      <w:marBottom w:val="0pt"/>
                      <w:divBdr>
                        <w:top w:val="none" w:sz="0" w:space="0" w:color="auto"/>
                        <w:left w:val="none" w:sz="0" w:space="0" w:color="auto"/>
                        <w:bottom w:val="none" w:sz="0" w:space="0" w:color="auto"/>
                        <w:right w:val="none" w:sz="0" w:space="0" w:color="auto"/>
                      </w:divBdr>
                      <w:divsChild>
                        <w:div w:id="1394352351">
                          <w:marLeft w:val="0pt"/>
                          <w:marRight w:val="0pt"/>
                          <w:marTop w:val="0pt"/>
                          <w:marBottom w:val="0pt"/>
                          <w:divBdr>
                            <w:top w:val="none" w:sz="0" w:space="0" w:color="auto"/>
                            <w:left w:val="none" w:sz="0" w:space="0" w:color="auto"/>
                            <w:bottom w:val="none" w:sz="0" w:space="0" w:color="auto"/>
                            <w:right w:val="none" w:sz="0" w:space="0" w:color="auto"/>
                          </w:divBdr>
                          <w:divsChild>
                            <w:div w:id="2065372010">
                              <w:marLeft w:val="0pt"/>
                              <w:marRight w:val="0pt"/>
                              <w:marTop w:val="0pt"/>
                              <w:marBottom w:val="0pt"/>
                              <w:divBdr>
                                <w:top w:val="none" w:sz="0" w:space="0" w:color="auto"/>
                                <w:left w:val="none" w:sz="0" w:space="0" w:color="auto"/>
                                <w:bottom w:val="none" w:sz="0" w:space="0" w:color="auto"/>
                                <w:right w:val="none" w:sz="0" w:space="0" w:color="auto"/>
                              </w:divBdr>
                              <w:divsChild>
                                <w:div w:id="2117433596">
                                  <w:marLeft w:val="0pt"/>
                                  <w:marRight w:val="0pt"/>
                                  <w:marTop w:val="0pt"/>
                                  <w:marBottom w:val="0pt"/>
                                  <w:divBdr>
                                    <w:top w:val="none" w:sz="0" w:space="0" w:color="auto"/>
                                    <w:left w:val="none" w:sz="0" w:space="0" w:color="auto"/>
                                    <w:bottom w:val="none" w:sz="0" w:space="0" w:color="auto"/>
                                    <w:right w:val="none" w:sz="0" w:space="0" w:color="auto"/>
                                  </w:divBdr>
                                  <w:divsChild>
                                    <w:div w:id="1205023571">
                                      <w:marLeft w:val="0pt"/>
                                      <w:marRight w:val="0pt"/>
                                      <w:marTop w:val="0pt"/>
                                      <w:marBottom w:val="0pt"/>
                                      <w:divBdr>
                                        <w:top w:val="none" w:sz="0" w:space="0" w:color="auto"/>
                                        <w:left w:val="none" w:sz="0" w:space="0" w:color="auto"/>
                                        <w:bottom w:val="none" w:sz="0" w:space="0" w:color="auto"/>
                                        <w:right w:val="none" w:sz="0" w:space="0" w:color="auto"/>
                                      </w:divBdr>
                                      <w:divsChild>
                                        <w:div w:id="1013145291">
                                          <w:marLeft w:val="0pt"/>
                                          <w:marRight w:val="0pt"/>
                                          <w:marTop w:val="0pt"/>
                                          <w:marBottom w:val="0pt"/>
                                          <w:divBdr>
                                            <w:top w:val="none" w:sz="0" w:space="0" w:color="auto"/>
                                            <w:left w:val="none" w:sz="0" w:space="0" w:color="auto"/>
                                            <w:bottom w:val="none" w:sz="0" w:space="0" w:color="auto"/>
                                            <w:right w:val="none" w:sz="0" w:space="0" w:color="auto"/>
                                          </w:divBdr>
                                          <w:divsChild>
                                            <w:div w:id="9062599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5918565">
      <w:bodyDiv w:val="1"/>
      <w:marLeft w:val="0pt"/>
      <w:marRight w:val="0pt"/>
      <w:marTop w:val="0pt"/>
      <w:marBottom w:val="0pt"/>
      <w:divBdr>
        <w:top w:val="none" w:sz="0" w:space="0" w:color="auto"/>
        <w:left w:val="none" w:sz="0" w:space="0" w:color="auto"/>
        <w:bottom w:val="none" w:sz="0" w:space="0" w:color="auto"/>
        <w:right w:val="none" w:sz="0" w:space="0" w:color="auto"/>
      </w:divBdr>
    </w:div>
    <w:div w:id="14802213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54885459">
          <w:marLeft w:val="0pt"/>
          <w:marRight w:val="0pt"/>
          <w:marTop w:val="0pt"/>
          <w:marBottom w:val="0pt"/>
          <w:divBdr>
            <w:top w:val="none" w:sz="0" w:space="0" w:color="auto"/>
            <w:left w:val="none" w:sz="0" w:space="0" w:color="auto"/>
            <w:bottom w:val="none" w:sz="0" w:space="0" w:color="auto"/>
            <w:right w:val="none" w:sz="0" w:space="0" w:color="auto"/>
          </w:divBdr>
          <w:divsChild>
            <w:div w:id="744490876">
              <w:marLeft w:val="0pt"/>
              <w:marRight w:val="0pt"/>
              <w:marTop w:val="0pt"/>
              <w:marBottom w:val="0pt"/>
              <w:divBdr>
                <w:top w:val="none" w:sz="0" w:space="0" w:color="auto"/>
                <w:left w:val="none" w:sz="0" w:space="0" w:color="auto"/>
                <w:bottom w:val="none" w:sz="0" w:space="0" w:color="auto"/>
                <w:right w:val="none" w:sz="0" w:space="0" w:color="auto"/>
              </w:divBdr>
            </w:div>
            <w:div w:id="1001618185">
              <w:marLeft w:val="0pt"/>
              <w:marRight w:val="0pt"/>
              <w:marTop w:val="0pt"/>
              <w:marBottom w:val="0pt"/>
              <w:divBdr>
                <w:top w:val="none" w:sz="0" w:space="0" w:color="auto"/>
                <w:left w:val="none" w:sz="0" w:space="0" w:color="auto"/>
                <w:bottom w:val="none" w:sz="0" w:space="0" w:color="auto"/>
                <w:right w:val="none" w:sz="0" w:space="0" w:color="auto"/>
              </w:divBdr>
            </w:div>
            <w:div w:id="1050610659">
              <w:marLeft w:val="0pt"/>
              <w:marRight w:val="0pt"/>
              <w:marTop w:val="0pt"/>
              <w:marBottom w:val="0pt"/>
              <w:divBdr>
                <w:top w:val="none" w:sz="0" w:space="0" w:color="auto"/>
                <w:left w:val="none" w:sz="0" w:space="0" w:color="auto"/>
                <w:bottom w:val="none" w:sz="0" w:space="0" w:color="auto"/>
                <w:right w:val="none" w:sz="0" w:space="0" w:color="auto"/>
              </w:divBdr>
            </w:div>
            <w:div w:id="250548139">
              <w:marLeft w:val="0pt"/>
              <w:marRight w:val="0pt"/>
              <w:marTop w:val="0pt"/>
              <w:marBottom w:val="0pt"/>
              <w:divBdr>
                <w:top w:val="none" w:sz="0" w:space="0" w:color="auto"/>
                <w:left w:val="none" w:sz="0" w:space="0" w:color="auto"/>
                <w:bottom w:val="none" w:sz="0" w:space="0" w:color="auto"/>
                <w:right w:val="none" w:sz="0" w:space="0" w:color="auto"/>
              </w:divBdr>
            </w:div>
            <w:div w:id="847064497">
              <w:marLeft w:val="0pt"/>
              <w:marRight w:val="0pt"/>
              <w:marTop w:val="0pt"/>
              <w:marBottom w:val="0pt"/>
              <w:divBdr>
                <w:top w:val="none" w:sz="0" w:space="0" w:color="auto"/>
                <w:left w:val="none" w:sz="0" w:space="0" w:color="auto"/>
                <w:bottom w:val="none" w:sz="0" w:space="0" w:color="auto"/>
                <w:right w:val="none" w:sz="0" w:space="0" w:color="auto"/>
              </w:divBdr>
            </w:div>
            <w:div w:id="5197527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TotalTime>
  <Pages>3</Pages>
  <Words>1480</Words>
  <Characters>9384</Characters>
  <Application>Microsoft Office Word</Application>
  <DocSecurity>0</DocSecurity>
  <Lines>240</Lines>
  <Paragraphs>48</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Tapia, Daniel I</cp:lastModifiedBy>
  <cp:revision>2</cp:revision>
  <dcterms:created xsi:type="dcterms:W3CDTF">2025-12-08T03:26:00Z</dcterms:created>
  <dcterms:modified xsi:type="dcterms:W3CDTF">2025-12-08T03:26:00Z</dcterms:modified>
</cp:coreProperties>
</file>