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nl7riqpzpq9" w:id="0"/>
      <w:bookmarkEnd w:id="0"/>
      <w:r w:rsidDel="00000000" w:rsidR="00000000" w:rsidRPr="00000000">
        <w:rPr>
          <w:rtl w:val="0"/>
        </w:rPr>
        <w:t xml:space="preserve">CCGRID 2027 Call for Papers</w:t>
      </w:r>
    </w:p>
    <w:p w:rsidR="00000000" w:rsidDel="00000000" w:rsidP="00000000" w:rsidRDefault="00000000" w:rsidRPr="00000000" w14:paraId="00000002">
      <w:pPr>
        <w:pStyle w:val="Subtitle"/>
        <w:rPr/>
      </w:pPr>
      <w:bookmarkStart w:colFirst="0" w:colLast="0" w:name="_izyc2jbdm1g" w:id="1"/>
      <w:bookmarkEnd w:id="1"/>
      <w:r w:rsidDel="00000000" w:rsidR="00000000" w:rsidRPr="00000000">
        <w:rPr>
          <w:rtl w:val="0"/>
        </w:rPr>
        <w:t xml:space="preserve">The 27th IEEE International Symposium on Cluster, Cloud, and Internet Computing</w:t>
      </w:r>
    </w:p>
    <w:p w:rsidR="00000000" w:rsidDel="00000000" w:rsidP="00000000" w:rsidRDefault="00000000" w:rsidRPr="00000000" w14:paraId="00000003">
      <w:pPr>
        <w:rPr/>
      </w:pPr>
      <w:r w:rsidDel="00000000" w:rsidR="00000000" w:rsidRPr="00000000">
        <w:rPr>
          <w:rtl w:val="0"/>
        </w:rPr>
        <w:t xml:space="preserve">Dallas–Fort Worth, Texas, USA | </w:t>
      </w:r>
      <w:r w:rsidDel="00000000" w:rsidR="00000000" w:rsidRPr="00000000">
        <w:rPr>
          <w:rtl w:val="0"/>
        </w:rPr>
        <w:t xml:space="preserve">May 24, 2027</w:t>
      </w:r>
      <w:r w:rsidDel="00000000" w:rsidR="00000000" w:rsidRPr="00000000">
        <w:rPr>
          <w:rtl w:val="0"/>
        </w:rPr>
        <w:t xml:space="preserve">–</w:t>
      </w:r>
      <w:r w:rsidDel="00000000" w:rsidR="00000000" w:rsidRPr="00000000">
        <w:rPr>
          <w:rtl w:val="0"/>
        </w:rPr>
        <w:t xml:space="preserve">May 27, 2027</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Conference website: </w:t>
      </w:r>
      <w:hyperlink r:id="rId6">
        <w:r w:rsidDel="00000000" w:rsidR="00000000" w:rsidRPr="00000000">
          <w:rPr>
            <w:color w:val="1155cc"/>
            <w:u w:val="single"/>
            <w:rtl w:val="0"/>
          </w:rPr>
          <w:t xml:space="preserve">https://hpcclab.org/ccgrid27/</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blcbzjcncsj4" w:id="2"/>
      <w:bookmarkEnd w:id="2"/>
      <w:r w:rsidDel="00000000" w:rsidR="00000000" w:rsidRPr="00000000">
        <w:rPr>
          <w:rtl w:val="0"/>
        </w:rPr>
        <w:t xml:space="preserve">Call for Papers</w:t>
      </w:r>
    </w:p>
    <w:p w:rsidR="00000000" w:rsidDel="00000000" w:rsidP="00000000" w:rsidRDefault="00000000" w:rsidRPr="00000000" w14:paraId="00000007">
      <w:pPr>
        <w:rPr/>
      </w:pPr>
      <w:r w:rsidDel="00000000" w:rsidR="00000000" w:rsidRPr="00000000">
        <w:rPr>
          <w:rtl w:val="0"/>
        </w:rPr>
        <w:t xml:space="preserve">We invite original, high-quality papers that address fundamental research and emerging challenges across a broad spectrum of distributed systems and applications. Submissions may focus on theoretical foundations, system design, implementation, or real-world deployments. We particularly encourage contributions stemming from industry efforts and academia–industry collaborations, including practical experiences, deployed systems, and applied research with tangible impact.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14x7xl4lg75y" w:id="3"/>
      <w:bookmarkEnd w:id="3"/>
      <w:r w:rsidDel="00000000" w:rsidR="00000000" w:rsidRPr="00000000">
        <w:rPr>
          <w:rtl w:val="0"/>
        </w:rPr>
        <w:t xml:space="preserve">Technical Tracks</w:t>
      </w:r>
    </w:p>
    <w:p w:rsidR="00000000" w:rsidDel="00000000" w:rsidP="00000000" w:rsidRDefault="00000000" w:rsidRPr="00000000" w14:paraId="0000000A">
      <w:pPr>
        <w:pStyle w:val="Heading2"/>
        <w:rPr/>
      </w:pPr>
      <w:bookmarkStart w:colFirst="0" w:colLast="0" w:name="_ekmnzgayhy68" w:id="4"/>
      <w:bookmarkEnd w:id="4"/>
      <w:r w:rsidDel="00000000" w:rsidR="00000000" w:rsidRPr="00000000">
        <w:rPr>
          <w:rtl w:val="0"/>
        </w:rPr>
        <w:t xml:space="preserve">Track 1 — Hardware Systems, Networking, Architectures, and Future Compute Platforms</w:t>
      </w:r>
    </w:p>
    <w:p w:rsidR="00000000" w:rsidDel="00000000" w:rsidP="00000000" w:rsidRDefault="00000000" w:rsidRPr="00000000" w14:paraId="0000000B">
      <w:pPr>
        <w:rPr/>
      </w:pPr>
      <w:r w:rsidDel="00000000" w:rsidR="00000000" w:rsidRPr="00000000">
        <w:rPr>
          <w:rtl w:val="0"/>
        </w:rPr>
        <w:t xml:space="preserve">This track covers computing and communication platforms for cluster, cloud, edge, and HPC systems. Topics include processor, memory, storage, and network architectures; high-performance interconnects and network offload; accelerators, heterogeneous and reconfigurable systems, and hardware–software co-design; disaggregated and composable infrastructure; edge, data-center, and HPC platforms; quantum, neuromorphic, photonic, and other emerging systems; and hardware support for virtualization, isolation, reliability, and energy efficiency.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38inc8hkwt8p" w:id="5"/>
      <w:bookmarkEnd w:id="5"/>
      <w:r w:rsidDel="00000000" w:rsidR="00000000" w:rsidRPr="00000000">
        <w:rPr>
          <w:rtl w:val="0"/>
        </w:rPr>
        <w:t xml:space="preserve">Track 2 — Software Systems, Applications, Storage, and Programming Models</w:t>
      </w:r>
    </w:p>
    <w:p w:rsidR="00000000" w:rsidDel="00000000" w:rsidP="00000000" w:rsidRDefault="00000000" w:rsidRPr="00000000" w14:paraId="0000000E">
      <w:pPr>
        <w:rPr/>
      </w:pPr>
      <w:r w:rsidDel="00000000" w:rsidR="00000000" w:rsidRPr="00000000">
        <w:rPr>
          <w:rtl w:val="0"/>
        </w:rPr>
        <w:t xml:space="preserve">This track covers software foundations, abstractions, services, and applications for distributed systems. Topics include operating systems, middleware, runtimes, coordination services, containers, microservices, serverless and event-driven computing, distributed storage and data management, programming models and frameworks, workflows and distributed applications, and edge-to-cloud platforms. General-purpose resource management—including scheduling, elasticity, autoscaling, and placement—belongs here, together with consistency, replication, transactions, observability, debugging, deployment, interoperability, and lifecycle management.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q6n4463oicde" w:id="6"/>
      <w:bookmarkEnd w:id="6"/>
      <w:r w:rsidDel="00000000" w:rsidR="00000000" w:rsidRPr="00000000">
        <w:rPr>
          <w:rtl w:val="0"/>
        </w:rPr>
        <w:t xml:space="preserve">Track 3 — Systems for AI/ML and Distributed Intelligence</w:t>
      </w:r>
    </w:p>
    <w:p w:rsidR="00000000" w:rsidDel="00000000" w:rsidP="00000000" w:rsidRDefault="00000000" w:rsidRPr="00000000" w14:paraId="00000011">
      <w:pPr>
        <w:rPr/>
      </w:pPr>
      <w:r w:rsidDel="00000000" w:rsidR="00000000" w:rsidRPr="00000000">
        <w:rPr>
          <w:rtl w:val="0"/>
        </w:rPr>
        <w:t xml:space="preserve">This track covers systems and infrastructure for developing, training, deploying, operating, and evaluating AI/ML workloads across cloud, edge, cluster, device, and HPC environments. Topics include distributed and parallel training, inference, and model serving; foundation and multimodal models; parallelism, communication, checkpointing, and data pipelines; federated and decentralized learning; edge intelligence; heterogeneous and accelerator-aware inference; model placement, compression, adaptation, and resource sharing; MLOps; and AI/ML workload characterization and benchmarking. Submissions must make a substantive systems contribution rather than focus primarily on model architecture or learning algorithms.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q062zd6t9fs9" w:id="7"/>
      <w:bookmarkEnd w:id="7"/>
      <w:r w:rsidDel="00000000" w:rsidR="00000000" w:rsidRPr="00000000">
        <w:rPr>
          <w:rtl w:val="0"/>
        </w:rPr>
        <w:t xml:space="preserve">Track 4 — Systems for LLM Applications and Agentic AI</w:t>
      </w:r>
    </w:p>
    <w:p w:rsidR="00000000" w:rsidDel="00000000" w:rsidP="00000000" w:rsidRDefault="00000000" w:rsidRPr="00000000" w14:paraId="00000014">
      <w:pPr>
        <w:rPr/>
      </w:pPr>
      <w:r w:rsidDel="00000000" w:rsidR="00000000" w:rsidRPr="00000000">
        <w:rPr>
          <w:rtl w:val="0"/>
        </w:rPr>
        <w:t xml:space="preserve">This track covers systems challenges in applications built on foundation models, from non-agentic LLM services to stateful, tool-using, and multi-agent systems. Topics include application and agent architectures, runtimes, and middleware; retrieval, context, memory, state, caching, and persistence; gateways, routing, fallback, and provider interoperability; agent orchestration, coordination, planning, tool use, and workflow integration; LLMOps and AgentOps; tracing, semantic evaluation, guardrails, governance, and human oversight. For LLM applications and agentic-AI systems specifically, topics also include scheduling, placement, serving, deployment, scaling, admission control, and resource and cost management across cloud, edge, device, and HPC platforms.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nb8e147ivz15" w:id="8"/>
      <w:bookmarkEnd w:id="8"/>
      <w:r w:rsidDel="00000000" w:rsidR="00000000" w:rsidRPr="00000000">
        <w:rPr>
          <w:rtl w:val="0"/>
        </w:rPr>
        <w:t xml:space="preserve">Track 5 — Performance Modeling, Analysis, and Optimization</w:t>
      </w:r>
    </w:p>
    <w:p w:rsidR="00000000" w:rsidDel="00000000" w:rsidP="00000000" w:rsidRDefault="00000000" w:rsidRPr="00000000" w14:paraId="00000017">
      <w:pPr>
        <w:rPr/>
      </w:pPr>
      <w:r w:rsidDel="00000000" w:rsidR="00000000" w:rsidRPr="00000000">
        <w:rPr>
          <w:rtl w:val="0"/>
        </w:rPr>
        <w:t xml:space="preserve">This track covers methods and tools for understanding, predicting, analyzing, and improving the performance and efficiency of distributed, parallel, cloud, edge, and HPC systems. Topics include analytical, empirical, simulation, queueing, and learning-assisted modeling; digital twins and what-if analysis; benchmarking, workload characterization, profiling, tracing, bottleneck and root-cause analysis; throughput, latency, tail behavior, service-level objectives, and quality of service; performance portability and cross-layer optimization; cost–performance analysis; and performance studies of workflows, storage, networks, applications, and emerging workloads. Contributions should provide generalizable performance insight, methodology, or optimization capability.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q4odv02u25kp" w:id="9"/>
      <w:bookmarkEnd w:id="9"/>
      <w:r w:rsidDel="00000000" w:rsidR="00000000" w:rsidRPr="00000000">
        <w:rPr>
          <w:rtl w:val="0"/>
        </w:rPr>
        <w:t xml:space="preserve">Track 6 — Distributed Systems Security, Privacy, Resilience, and Reliability</w:t>
      </w:r>
    </w:p>
    <w:p w:rsidR="00000000" w:rsidDel="00000000" w:rsidP="00000000" w:rsidRDefault="00000000" w:rsidRPr="00000000" w14:paraId="0000001A">
      <w:pPr>
        <w:rPr/>
      </w:pPr>
      <w:r w:rsidDel="00000000" w:rsidR="00000000" w:rsidRPr="00000000">
        <w:rPr>
          <w:rtl w:val="0"/>
        </w:rPr>
        <w:t xml:space="preserve">This track covers the protection, dependability, and trustworthy operation of distributed infrastructures and applications. Topics include threat models, attacks, defenses, and security architectures; authentication, authorization, identity, access control, and zero-trust systems; confidential and privacy-preserving computing, trusted execution, attestation, and secure isolation; intrusion, anomaly, and fault detection; containment, forensics, recovery, self-healing, and disaster tolerance; Byzantine fault tolerance and secure replication; availability, reliability modeling, and resilience engineering; and supply-chain security, integrity, provenance, verification, testing, and benchmarking.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rfskotlnmcy7" w:id="10"/>
      <w:bookmarkEnd w:id="10"/>
      <w:r w:rsidDel="00000000" w:rsidR="00000000" w:rsidRPr="00000000">
        <w:rPr>
          <w:rtl w:val="0"/>
        </w:rPr>
        <w:t xml:space="preserve">Track 7 — Sustainable Computing and Green Technologies</w:t>
      </w:r>
    </w:p>
    <w:p w:rsidR="00000000" w:rsidDel="00000000" w:rsidP="00000000" w:rsidRDefault="00000000" w:rsidRPr="00000000" w14:paraId="0000001D">
      <w:pPr>
        <w:rPr/>
      </w:pPr>
      <w:r w:rsidDel="00000000" w:rsidR="00000000" w:rsidRPr="00000000">
        <w:rPr>
          <w:rtl w:val="0"/>
        </w:rPr>
        <w:t xml:space="preserve">This track covers systems research that measures, reduces, or manages computing’s environmental impact. Topics include energy-efficient, carbon-aware, renewable-aware, and location- or time-aware computing; power, thermal, cooling, water, and facility-aware management; sustainable scheduling, placement, consolidation, autoscaling, and workload shifting; multi-objective optimization across performance, cost, reliability, and sustainability; embodied impact, hardware lifecycle, circularity, and reuse; environmental impacts of data centers, networks, storage, edge, HPC, and AI/ML workloads; sustainability-linked incentives and economic models; and reproducible sustainability measurement, benchmarking, reporting, and governance.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o8xc73ypv6in" w:id="11"/>
      <w:bookmarkEnd w:id="11"/>
      <w:r w:rsidDel="00000000" w:rsidR="00000000" w:rsidRPr="00000000">
        <w:rPr>
          <w:rtl w:val="0"/>
        </w:rPr>
        <w:t xml:space="preserve">Important Dates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Abstract submission deadline: </w:t>
      </w:r>
      <w:r w:rsidDel="00000000" w:rsidR="00000000" w:rsidRPr="00000000">
        <w:rPr>
          <w:rtl w:val="0"/>
        </w:rPr>
        <w:t xml:space="preserve">Nov 24, 2026</w:t>
      </w:r>
      <w:r w:rsidDel="00000000" w:rsidR="00000000" w:rsidRPr="00000000">
        <w:rPr>
          <w:rtl w:val="0"/>
        </w:rPr>
        <w:t xml:space="preserve"> (AoE)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Paper submission deadline: </w:t>
      </w:r>
      <w:r w:rsidDel="00000000" w:rsidR="00000000" w:rsidRPr="00000000">
        <w:rPr>
          <w:rtl w:val="0"/>
        </w:rPr>
        <w:t xml:space="preserve">Dec 1, 2026</w:t>
      </w:r>
      <w:r w:rsidDel="00000000" w:rsidR="00000000" w:rsidRPr="00000000">
        <w:rPr>
          <w:rtl w:val="0"/>
        </w:rPr>
        <w:t xml:space="preserve"> (AoE)</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Notification of acceptance: </w:t>
      </w:r>
      <w:r w:rsidDel="00000000" w:rsidR="00000000" w:rsidRPr="00000000">
        <w:rPr>
          <w:rtl w:val="0"/>
        </w:rPr>
        <w:t xml:space="preserve">Feb 1, 2027</w:t>
      </w: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Camera-ready submission: </w:t>
      </w:r>
      <w:r w:rsidDel="00000000" w:rsidR="00000000" w:rsidRPr="00000000">
        <w:rPr>
          <w:rtl w:val="0"/>
        </w:rPr>
        <w:t xml:space="preserve">Mar 16, 2027</w:t>
      </w: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Conference dates: </w:t>
      </w:r>
      <w:r w:rsidDel="00000000" w:rsidR="00000000" w:rsidRPr="00000000">
        <w:rPr>
          <w:rtl w:val="0"/>
        </w:rPr>
        <w:t xml:space="preserve">May 24, 2027</w:t>
      </w:r>
      <w:r w:rsidDel="00000000" w:rsidR="00000000" w:rsidRPr="00000000">
        <w:rPr>
          <w:rtl w:val="0"/>
        </w:rPr>
        <w:t xml:space="preserve">–</w:t>
      </w:r>
      <w:r w:rsidDel="00000000" w:rsidR="00000000" w:rsidRPr="00000000">
        <w:rPr>
          <w:rtl w:val="0"/>
        </w:rPr>
        <w:t xml:space="preserve">May 27, 2027</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id5428u143ur" w:id="12"/>
      <w:bookmarkEnd w:id="12"/>
      <w:r w:rsidDel="00000000" w:rsidR="00000000" w:rsidRPr="00000000">
        <w:rPr>
          <w:rtl w:val="0"/>
        </w:rPr>
        <w:t xml:space="preserve">Submission Guidelines</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Submitted manuscripts must be technical papers of no more than 10 letter-size (8.5 × 11 inch) pages, including references, figures, and tables, using the IEEE conference template.</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All submissions must be double-blind.</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Papers will be judged on correctness, originality, technical strength, significance, presentation quality, and relevance. Submissions must present original, unpublished research not under review elsewhere.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Authors should read and follow the IEEE Submission and Peer Review Policies, including the IEEE guidance on AI-generated text.</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For the final accepted manuscript, authors may purchase up to two additional pages beyond the original 10 pages, excluding references, to address reviewer comments.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Accepted papers will be submitted for possible inclusion in IEEE Xplore, subject to meeting IEEE Xplore’s scope and quality requirements.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pcclab.org/ccgrid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