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Добавить пользователя guest, задать пароль, войти в систему под новым пользователем, определить директорию, уточнить имя пользователя, уточнить группу, а также группы, в которых есть пользователь, сравнить полученную информацию с данными, выводимыми в командной строке, просмотреть файлы командами, определить gid пользователя, сравнить найденные значения, определить существование директорий, проверить расширенные атрибуты, создать поддиректорию dir1, снять с директории права,создать файл в той же директории, выполнить задания с таблицами.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Дискреционное управление доступом в ОС Linux обеспечивает возможность управления доступом к данным самими пользователями операционной системы, также оно применяется к каждому субъекту (пользователю) и сущности (файлу, каталогу).</w:t>
      </w:r>
    </w:p>
    <w:p>
      <w:pPr>
        <w:pStyle w:val="BodyText"/>
      </w:pPr>
      <w:r>
        <w:t xml:space="preserve">Механизм дискреционного управления доступом именованных субъектов к именованным сущностям обеспечивает создание для каждой пары субъект-сущность явного и недвусмысленного перечисления разрешенных типов доступа, формирующих правила разграничения доступа (ПРД).</w:t>
      </w:r>
    </w:p>
    <w:p>
      <w:pPr>
        <w:pStyle w:val="BodyText"/>
      </w:pPr>
      <w:r>
        <w:t xml:space="preserve">На защищаемые именованные сущности при их создании автоматически устанавливаются базовые дискреционные ПРД в виде:</w:t>
      </w:r>
    </w:p>
    <w:p>
      <w:pPr>
        <w:pStyle w:val="Compact"/>
        <w:numPr>
          <w:ilvl w:val="0"/>
          <w:numId w:val="1001"/>
        </w:numPr>
      </w:pPr>
      <w:r>
        <w:t xml:space="preserve">идентификаторов пользователя-владельца (UID) и группы-владельца (GID), которые вправе распоряжаться доступом к данной сущности;</w:t>
      </w:r>
    </w:p>
    <w:p>
      <w:pPr>
        <w:pStyle w:val="Compact"/>
        <w:numPr>
          <w:ilvl w:val="0"/>
          <w:numId w:val="1001"/>
        </w:numPr>
      </w:pPr>
      <w:r>
        <w:t xml:space="preserve">прав доступа данных субъектов к созданной сущности.</w:t>
      </w:r>
    </w:p>
    <w:p>
      <w:pPr>
        <w:pStyle w:val="FirstParagraph"/>
      </w:pPr>
      <w:r>
        <w:t xml:space="preserve">Сущностями доступа являются:файлы,каталоги, соединения (сокеты), сетевые пакеты, механизмы IPC (разделяемая память, очереди сообщений и др.)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добавляю пользователя guest, задатю пароль, вхожу в систему под новым пользователем, определяю директорию, уточняю имя пользователя при whoami, уточнияю группу, а также группы, в которых есть пользователь, сравнию полученную информацию с данными, выводимыми в командной строке, просматриваю файлы командами, определяю gid пользователя (он равен 1001), сравнию найденные значения, определяю существование директорий, проверяю расширенные атрибуты,создаю поддиректорию dir1, снимаю с директории права,создаю файл в той же директории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40157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1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Выполнение заданий</w:t>
            </w:r>
          </w:p>
          <w:bookmarkEnd w:id="26"/>
        </w:tc>
      </w:tr>
    </w:tbl>
    <w:p>
      <w:pPr>
        <w:pStyle w:val="BodyText"/>
      </w:pPr>
      <w:r>
        <w:t xml:space="preserve">Дальше выполняю задания, связанные с правами доступа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40157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1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Выполнение заданий с правами доступа часть 1</w:t>
            </w:r>
          </w:p>
          <w:bookmarkEnd w:id="30"/>
        </w:tc>
      </w:tr>
    </w:tbl>
    <w:p>
      <w:pPr>
        <w:pStyle w:val="BodyText"/>
      </w:pPr>
      <w:r>
        <w:t xml:space="preserve">Дальше выполняю задания, связанные с правами доступа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40157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1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заданий с правами доступа часть 2</w:t>
            </w:r>
          </w:p>
          <w:bookmarkEnd w:id="34"/>
        </w:tc>
      </w:tr>
    </w:tbl>
    <w:p>
      <w:pPr>
        <w:pStyle w:val="DefinitionTerm"/>
      </w:pPr>
      <w:r>
        <w:t xml:space="preserve">Задание 14. В таблице</w:t>
      </w:r>
      <w:r>
        <w:t xml:space="preserve"> </w:t>
      </w:r>
      <w:r>
        <w:rPr>
          <w:b/>
          <w:bCs/>
        </w:rPr>
        <w:t xml:space="preserve">?@tbl-perm-actions</w:t>
      </w:r>
      <w:r>
        <w:t xml:space="preserve"> </w:t>
      </w:r>
      <w:r>
        <w:t xml:space="preserve">можно видеть установленные права и разрешённые действия</w:t>
      </w:r>
    </w:p>
    <w:p>
      <w:pPr>
        <w:pStyle w:val="Definition"/>
      </w:pPr>
      <w:r>
        <w:t xml:space="preserve">Установленные права и разрешённые действия {#tbl-perm-actions}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635"/>
        <w:gridCol w:w="782"/>
        <w:gridCol w:w="782"/>
        <w:gridCol w:w="733"/>
        <w:gridCol w:w="684"/>
        <w:gridCol w:w="880"/>
        <w:gridCol w:w="1466"/>
        <w:gridCol w:w="10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rwx (700)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d–x–x–x 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d–x–x–x 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rwx (700)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drwx——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drwx——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rw——- (600)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drwx——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r——– (400)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drwx——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-w——- (200)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dr-x—— 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rw——- (600)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d-wx—— 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rw——- (600)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drwxr-xr-x (755)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rw-r–r– (644)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drwxrwxrwx (777)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зависит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зависит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Задание 15. В таблице</w:t>
      </w:r>
      <w:r>
        <w:t xml:space="preserve"> </w:t>
      </w:r>
      <w:r>
        <w:rPr>
          <w:b/>
          <w:bCs/>
        </w:rPr>
        <w:t xml:space="preserve">?@tbl-min-perm</w:t>
      </w:r>
      <w:r>
        <w:t xml:space="preserve"> </w:t>
      </w:r>
      <w:r>
        <w:t xml:space="preserve">можно какие операции дают мин права на директорию и на файл</w:t>
      </w:r>
      <w:r>
        <w:t xml:space="preserve"> </w:t>
      </w:r>
      <w:r>
        <w:t xml:space="preserve">| Операция | Минимальные права на директорию | Минимальные права на файл |</w:t>
      </w:r>
      <w:r>
        <w:t xml:space="preserve"> </w:t>
      </w:r>
      <w:r>
        <w:t xml:space="preserve">|:————————–|:——————————-:|:————————-:|</w:t>
      </w:r>
      <w:r>
        <w:t xml:space="preserve"> </w:t>
      </w:r>
      <w:r>
        <w:t xml:space="preserve">| Создание файла | wx (300) | — (не существует) |</w:t>
      </w:r>
      <w:r>
        <w:t xml:space="preserve"> </w:t>
      </w:r>
      <w:r>
        <w:t xml:space="preserve">| Удаление файла | wx (300) | — (не требуются) |</w:t>
      </w:r>
      <w:r>
        <w:t xml:space="preserve"> </w:t>
      </w:r>
      <w:r>
        <w:t xml:space="preserve">| Чтение файла | x (100) | r (400) |</w:t>
      </w:r>
      <w:r>
        <w:t xml:space="preserve"> </w:t>
      </w:r>
      <w:r>
        <w:t xml:space="preserve">| Запись в файл | x (100) | w (200) |</w:t>
      </w:r>
      <w:r>
        <w:t xml:space="preserve"> </w:t>
      </w:r>
      <w:r>
        <w:t xml:space="preserve">| Переименование файла | wx (300) | — (не требуются) |</w:t>
      </w:r>
      <w:r>
        <w:t xml:space="preserve"> </w:t>
      </w:r>
      <w:r>
        <w:t xml:space="preserve">| Создание поддиректории | wx (300) | — |</w:t>
      </w:r>
      <w:r>
        <w:t xml:space="preserve"> </w:t>
      </w:r>
      <w:r>
        <w:t xml:space="preserve">| Удаление поддиректории | wx (300) | — |</w:t>
      </w:r>
      <w:r>
        <w:t xml:space="preserve"> </w:t>
      </w:r>
      <w:r>
        <w:t xml:space="preserve">| Смена директории (cd) | x (100) | — |</w:t>
      </w:r>
      <w:r>
        <w:t xml:space="preserve"> </w:t>
      </w:r>
      <w:r>
        <w:t xml:space="preserve">| Просмотр файлов в директории (ls) | rx (500) | — |</w:t>
      </w:r>
    </w:p>
    <w:p>
      <w:pPr>
        <w:pStyle w:val="BodyText"/>
      </w:pPr>
      <w:r>
        <w:t xml:space="preserve">: Минимальные права для совершения операций {#tbl-min-perm}</w:t>
      </w:r>
    </w:p>
    <w:bookmarkEnd w:id="35"/>
    <w:bookmarkStart w:id="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проведения лабораторной работы были получены знания по правам доступа в файлах и директориях.</w:t>
      </w:r>
    </w:p>
    <w:bookmarkEnd w:id="36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Start w:id="38" w:name="ref-astralinux-da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НПО РусБИТех. Дискреционное управление доступом (DAC): Документация по системе защиты информации операционной системы специального назначения «Astra Linux Special Edition» [Электронный ресурс]. Москва: НПО РусБИТех. URL:</w:t>
      </w:r>
      <w:r>
        <w:t xml:space="preserve"> </w:t>
      </w:r>
      <w:hyperlink r:id="rId37">
        <w:r>
          <w:rPr>
            <w:rStyle w:val="Hyperlink"/>
          </w:rPr>
          <w:t xml:space="preserve">https://docs.astralinux.ru/latest/szi/szi/dac/</w:t>
        </w:r>
      </w:hyperlink>
      <w:r>
        <w:t xml:space="preserve"> </w:t>
      </w:r>
      <w:r>
        <w:t xml:space="preserve">(дата обращения: 07.03.2025).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hyperlink" Id="rId37" Target="https://docs.astralinux.ru/latest/szi/szi/da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cs.astralinux.ru/latest/szi/szi/da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Татьяна Александровна Пономарева</dc:creator>
  <dc:language>ru-RU</dc:language>
  <cp:keywords/>
  <dcterms:created xsi:type="dcterms:W3CDTF">2026-03-07T20:41:48Z</dcterms:created>
  <dcterms:modified xsi:type="dcterms:W3CDTF">2026-03-07T20:41:48Z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