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разделу №1</w:t>
      </w:r>
      <w:r>
        <w:t xml:space="preserve"> </w:t>
      </w:r>
      <w:r>
        <w:t xml:space="preserve">‘Безопасность в сети’</w:t>
      </w:r>
      <w:r>
        <w:t xml:space="preserve"> </w:t>
      </w:r>
      <w:r>
        <w:t xml:space="preserve">внешнего курса на тему:</w:t>
      </w:r>
      <w:r>
        <w:t xml:space="preserve"> </w:t>
      </w:r>
      <w:r>
        <w:t xml:space="preserve">‘Основы кибербезопасности’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задания раздела 1 и понять, что из себя представляет безопасность в сети.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Данный курс рассчитан на любого пользователя ПК/смартфона/банкомата и состоит из 3-х разделов, также он содержит лекции, материалы для доп. чтения и тесты</w:t>
      </w:r>
      <w:r>
        <w:t xml:space="preserve"> </w:t>
      </w:r>
      <w:r>
        <w:t xml:space="preserve">[1]</w:t>
      </w:r>
      <w:r>
        <w:t xml:space="preserve">.</w:t>
      </w:r>
    </w:p>
    <w:bookmarkEnd w:id="21"/>
    <w:bookmarkStart w:id="114" w:name="X24fd21b7ef743201287f3ca0f37d013931b28b0"/>
    <w:p>
      <w:pPr>
        <w:pStyle w:val="Heading1"/>
      </w:pPr>
      <w:r>
        <w:t xml:space="preserve">3. Выполнение заданий раздела 1</w:t>
      </w:r>
      <w:r>
        <w:t xml:space="preserve"> </w:t>
      </w:r>
      <w:r>
        <w:t xml:space="preserve">“Безопасность в сети”</w:t>
      </w:r>
    </w:p>
    <w:bookmarkStart w:id="58" w:name="X808aab1f98d65430c717c64c4e7a2057359c678"/>
    <w:p>
      <w:pPr>
        <w:pStyle w:val="Heading2"/>
      </w:pPr>
      <w:r>
        <w:t xml:space="preserve">3.1 Как работает интернет: базовые сетевые протоколы</w:t>
      </w:r>
    </w:p>
    <w:p>
      <w:pPr>
        <w:pStyle w:val="FirstParagraph"/>
      </w:pPr>
      <w:r>
        <w:t xml:space="preserve">Протокол прикладного уровня - HTTPS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333998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9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Протокол прикладного уровня</w:t>
            </w:r>
          </w:p>
          <w:bookmarkEnd w:id="25"/>
        </w:tc>
      </w:tr>
    </w:tbl>
    <w:p>
      <w:pPr>
        <w:pStyle w:val="BodyText"/>
      </w:pPr>
      <w:r>
        <w:t xml:space="preserve">Протокол ТСР работает на транспортном уровне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467100" cy="223087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230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Уровень протокола ТСР</w:t>
            </w:r>
          </w:p>
          <w:bookmarkEnd w:id="29"/>
        </w:tc>
      </w:tr>
    </w:tbl>
    <w:p>
      <w:pPr>
        <w:pStyle w:val="BodyText"/>
      </w:pPr>
      <w:r>
        <w:t xml:space="preserve">Корректные адреса IPv4 - это те, которые соответствуют правилам составления адреса, т е 90.11.90.22 и 25.198.0.15. Остальные не подходят, т к число, стоящее в составе адреса, не может превышать 255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000500" cy="336613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3366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Корректные адреса IPv4</w:t>
            </w:r>
          </w:p>
          <w:bookmarkEnd w:id="33"/>
        </w:tc>
      </w:tr>
    </w:tbl>
    <w:p>
      <w:pPr>
        <w:pStyle w:val="BodyText"/>
      </w:pPr>
      <w:r>
        <w:t xml:space="preserve">DNS сервер сопоставляет IP адреса доменным именам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000500" cy="2992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99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Функция DNS сервера</w:t>
            </w:r>
          </w:p>
          <w:bookmarkEnd w:id="37"/>
        </w:tc>
      </w:tr>
    </w:tbl>
    <w:p>
      <w:pPr>
        <w:pStyle w:val="BodyText"/>
      </w:pPr>
      <w:r>
        <w:t xml:space="preserve">Корректная последовательность протоколов в модели TCP/IP:прикладной - транспортный - сетевой - канальный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533900" cy="275976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59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Последовательность протоколов в модели TCP/IP</w:t>
            </w:r>
          </w:p>
          <w:bookmarkEnd w:id="41"/>
        </w:tc>
      </w:tr>
    </w:tbl>
    <w:p>
      <w:pPr>
        <w:pStyle w:val="BodyText"/>
      </w:pPr>
      <w:r>
        <w:t xml:space="preserve">Протокол http предлагает передачу данных между клиентом и сервером в открытом виде, т к в конце не стоит s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067300" cy="308810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881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Функция протокола http</w:t>
            </w:r>
          </w:p>
          <w:bookmarkEnd w:id="45"/>
        </w:tc>
      </w:tr>
    </w:tbl>
    <w:p>
      <w:pPr>
        <w:pStyle w:val="BodyText"/>
      </w:pPr>
      <w:r>
        <w:t xml:space="preserve">Протокол https состоит из двух фаз: рукопожатия и передачи данных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067300" cy="268300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683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Состав протокола https</w:t>
            </w:r>
          </w:p>
          <w:bookmarkEnd w:id="49"/>
        </w:tc>
      </w:tr>
    </w:tbl>
    <w:p>
      <w:pPr>
        <w:pStyle w:val="BodyText"/>
      </w:pPr>
      <w:r>
        <w:t xml:space="preserve">Версия протокола TLS определяется и клиентом, и сервером в процессе</w:t>
      </w:r>
      <w:r>
        <w:t xml:space="preserve"> </w:t>
      </w:r>
      <w:r>
        <w:t xml:space="preserve">“переговоров”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533900" cy="274219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742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Определение версии протокола TLS</w:t>
            </w:r>
          </w:p>
          <w:bookmarkEnd w:id="53"/>
        </w:tc>
      </w:tr>
    </w:tbl>
    <w:p>
      <w:pPr>
        <w:pStyle w:val="BodyText"/>
      </w:pPr>
      <w:r>
        <w:t xml:space="preserve">В фазе</w:t>
      </w:r>
      <w:r>
        <w:t xml:space="preserve"> </w:t>
      </w:r>
      <w:r>
        <w:t xml:space="preserve">“рукопожатия”</w:t>
      </w:r>
      <w:r>
        <w:t xml:space="preserve"> </w:t>
      </w:r>
      <w:r>
        <w:t xml:space="preserve">протокола TLS не предусмотрено шифрование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4533900" cy="260545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605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Отсутствие шифрования данных в фазе</w:t>
            </w:r>
            <w:r>
              <w:t xml:space="preserve"> </w:t>
            </w:r>
            <w:r>
              <w:t xml:space="preserve">“рукопожатия”</w:t>
            </w:r>
            <w:r>
              <w:t xml:space="preserve"> </w:t>
            </w:r>
            <w:r>
              <w:t xml:space="preserve">протокола TLS</w:t>
            </w:r>
          </w:p>
          <w:bookmarkEnd w:id="57"/>
        </w:tc>
      </w:tr>
    </w:tbl>
    <w:bookmarkEnd w:id="58"/>
    <w:bookmarkStart w:id="75" w:name="персонализация-сети"/>
    <w:p>
      <w:pPr>
        <w:pStyle w:val="Heading2"/>
      </w:pPr>
      <w:r>
        <w:t xml:space="preserve">3.2 Персонализация сети</w:t>
      </w:r>
    </w:p>
    <w:p>
      <w:pPr>
        <w:pStyle w:val="FirstParagraph"/>
      </w:pPr>
      <w:r>
        <w:t xml:space="preserve">Куки хранят: id сессии и идентификатор пользователя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10"/>
          <w:p>
            <w:pPr>
              <w:pStyle w:val="Compact"/>
              <w:jc w:val="center"/>
            </w:pPr>
            <w:r>
              <w:drawing>
                <wp:inline>
                  <wp:extent cx="3467100" cy="256707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im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567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Состав куки</w:t>
            </w:r>
          </w:p>
          <w:bookmarkEnd w:id="62"/>
        </w:tc>
      </w:tr>
    </w:tbl>
    <w:p>
      <w:pPr>
        <w:pStyle w:val="BodyText"/>
      </w:pPr>
      <w:r>
        <w:t xml:space="preserve">Куки не используются для улучшения надежности соединения (</w:t>
      </w:r>
      <w:hyperlink w:anchor="fig-0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11"/>
          <w:p>
            <w:pPr>
              <w:pStyle w:val="Compact"/>
              <w:jc w:val="center"/>
            </w:pPr>
            <w:r>
              <w:drawing>
                <wp:inline>
                  <wp:extent cx="3733800" cy="296037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im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Неиспользование куки</w:t>
            </w:r>
          </w:p>
          <w:bookmarkEnd w:id="66"/>
        </w:tc>
      </w:tr>
    </w:tbl>
    <w:p>
      <w:pPr>
        <w:pStyle w:val="BodyText"/>
      </w:pPr>
      <w:r>
        <w:t xml:space="preserve">Куки генерируются сервером, а не клиентом (</w:t>
      </w:r>
      <w:hyperlink w:anchor="fig-0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2"/>
          <w:p>
            <w:pPr>
              <w:pStyle w:val="Compact"/>
              <w:jc w:val="center"/>
            </w:pPr>
            <w:r>
              <w:drawing>
                <wp:inline>
                  <wp:extent cx="3467100" cy="265653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im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656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Генерация куки</w:t>
            </w:r>
          </w:p>
          <w:bookmarkEnd w:id="70"/>
        </w:tc>
      </w:tr>
    </w:tbl>
    <w:p>
      <w:pPr>
        <w:pStyle w:val="BodyText"/>
      </w:pPr>
      <w:r>
        <w:t xml:space="preserve">Сессионные куки хранятся в браузере на время пользования сайтом (</w:t>
      </w:r>
      <w:hyperlink w:anchor="fig-0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13"/>
          <w:p>
            <w:pPr>
              <w:pStyle w:val="Compact"/>
              <w:jc w:val="center"/>
            </w:pPr>
            <w:r>
              <w:drawing>
                <wp:inline>
                  <wp:extent cx="3733800" cy="2594122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4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Хранение куки</w:t>
            </w:r>
          </w:p>
          <w:bookmarkEnd w:id="74"/>
        </w:tc>
      </w:tr>
    </w:tbl>
    <w:bookmarkEnd w:id="75"/>
    <w:bookmarkStart w:id="92" w:name="браузер-tor.-анонимизация"/>
    <w:p>
      <w:pPr>
        <w:pStyle w:val="Heading2"/>
      </w:pPr>
      <w:r>
        <w:t xml:space="preserve">3.3 Браузер TOR. Анонимизация</w:t>
      </w:r>
    </w:p>
    <w:p>
      <w:pPr>
        <w:pStyle w:val="FirstParagraph"/>
      </w:pPr>
      <w:r>
        <w:t xml:space="preserve">В луковой сети TOR находится 3 промежуточных узла (</w:t>
      </w:r>
      <w:hyperlink w:anchor="fig-0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014"/>
          <w:p>
            <w:pPr>
              <w:pStyle w:val="Compact"/>
              <w:jc w:val="center"/>
            </w:pPr>
            <w:r>
              <w:drawing>
                <wp:inline>
                  <wp:extent cx="3467100" cy="243981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2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Количество узлов в сети TOR</w:t>
            </w:r>
          </w:p>
          <w:bookmarkEnd w:id="79"/>
        </w:tc>
      </w:tr>
    </w:tbl>
    <w:p>
      <w:pPr>
        <w:pStyle w:val="BodyText"/>
      </w:pPr>
      <w:r>
        <w:t xml:space="preserve">IP-адрес получателя известен отправителю и выходному узлу (</w:t>
      </w:r>
      <w:hyperlink w:anchor="fig-0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015"/>
          <w:p>
            <w:pPr>
              <w:pStyle w:val="Compact"/>
              <w:jc w:val="center"/>
            </w:pPr>
            <w:r>
              <w:drawing>
                <wp:inline>
                  <wp:extent cx="3733800" cy="316888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im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8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Доступ к IP-адресу получателя</w:t>
            </w:r>
          </w:p>
          <w:bookmarkEnd w:id="83"/>
        </w:tc>
      </w:tr>
    </w:tbl>
    <w:p>
      <w:pPr>
        <w:pStyle w:val="BodyText"/>
      </w:pPr>
      <w:r>
        <w:t xml:space="preserve">Отправитель генерирует общий секретный ключ с охранным, промежуточным и выходным узлом (</w:t>
      </w:r>
      <w:hyperlink w:anchor="fig-0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016"/>
          <w:p>
            <w:pPr>
              <w:pStyle w:val="Compact"/>
              <w:jc w:val="center"/>
            </w:pPr>
            <w:r>
              <w:drawing>
                <wp:inline>
                  <wp:extent cx="3733800" cy="2646744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im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6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Генерация общего секретного ключа и доступ к нему</w:t>
            </w:r>
          </w:p>
          <w:bookmarkEnd w:id="87"/>
        </w:tc>
      </w:tr>
    </w:tbl>
    <w:p>
      <w:pPr>
        <w:pStyle w:val="BodyText"/>
      </w:pPr>
      <w:r>
        <w:t xml:space="preserve">Пользователь не должен использовать браузер TOR для успешного получения пакетов (</w:t>
      </w:r>
      <w:hyperlink w:anchor="fig-0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017"/>
          <w:p>
            <w:pPr>
              <w:pStyle w:val="Compact"/>
              <w:jc w:val="center"/>
            </w:pPr>
            <w:r>
              <w:drawing>
                <wp:inline>
                  <wp:extent cx="4267200" cy="1700769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im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700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Браузер TOR не является необходимым</w:t>
            </w:r>
          </w:p>
          <w:bookmarkEnd w:id="91"/>
        </w:tc>
      </w:tr>
    </w:tbl>
    <w:bookmarkEnd w:id="92"/>
    <w:bookmarkStart w:id="113" w:name="беспроводные-сети-wi-fi"/>
    <w:p>
      <w:pPr>
        <w:pStyle w:val="Heading2"/>
      </w:pPr>
      <w:r>
        <w:t xml:space="preserve">3.4 Беспроводные сети Wi-fi</w:t>
      </w:r>
    </w:p>
    <w:p>
      <w:pPr>
        <w:pStyle w:val="FirstParagraph"/>
      </w:pPr>
      <w:r>
        <w:t xml:space="preserve">Wi-fi - это технология беспроводной локальной сети, работающая в соответствии со стандартом IEEE 802.11 (</w:t>
      </w:r>
      <w:hyperlink w:anchor="fig-0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018"/>
          <w:p>
            <w:pPr>
              <w:pStyle w:val="Compact"/>
              <w:jc w:val="center"/>
            </w:pPr>
            <w:r>
              <w:drawing>
                <wp:inline>
                  <wp:extent cx="4267200" cy="227373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im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73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Определение Wi-fi</w:t>
            </w:r>
          </w:p>
          <w:bookmarkEnd w:id="96"/>
        </w:tc>
      </w:tr>
    </w:tbl>
    <w:p>
      <w:pPr>
        <w:pStyle w:val="BodyText"/>
      </w:pPr>
      <w:r>
        <w:t xml:space="preserve">Протокол Wi-fi работает на канальном уровне (</w:t>
      </w:r>
      <w:hyperlink w:anchor="fig-0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9"/>
          <w:p>
            <w:pPr>
              <w:pStyle w:val="Compact"/>
              <w:jc w:val="center"/>
            </w:pPr>
            <w:r>
              <w:drawing>
                <wp:inline>
                  <wp:extent cx="4267200" cy="302113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im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21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Уровень работы протокола Wi-fi</w:t>
            </w:r>
          </w:p>
          <w:bookmarkEnd w:id="100"/>
        </w:tc>
      </w:tr>
    </w:tbl>
    <w:p>
      <w:pPr>
        <w:pStyle w:val="BodyText"/>
      </w:pPr>
      <w:r>
        <w:t xml:space="preserve">WEP - небезопасный метод обеспечения шифрования и аутентификации в сети Wi-Fi (</w:t>
      </w:r>
      <w:hyperlink w:anchor="fig-0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020"/>
          <w:p>
            <w:pPr>
              <w:pStyle w:val="Compact"/>
              <w:jc w:val="center"/>
            </w:pPr>
            <w:r>
              <w:drawing>
                <wp:inline>
                  <wp:extent cx="4533900" cy="260725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607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Небезопасный метод обеспечения шифрования и аутентификации в сети Wi-Fi</w:t>
            </w:r>
          </w:p>
          <w:bookmarkEnd w:id="104"/>
        </w:tc>
      </w:tr>
    </w:tbl>
    <w:p>
      <w:pPr>
        <w:pStyle w:val="BodyText"/>
      </w:pPr>
      <w:r>
        <w:t xml:space="preserve">Данные между хостом сети (компьютером и смартфоном) и роутером передаются в зашифрованном виде после аутентификации устройства (</w:t>
      </w:r>
      <w:hyperlink w:anchor="fig-0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021"/>
          <w:p>
            <w:pPr>
              <w:pStyle w:val="Compact"/>
              <w:jc w:val="center"/>
            </w:pPr>
            <w:r>
              <w:drawing>
                <wp:inline>
                  <wp:extent cx="4533900" cy="251264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im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5126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Передача данных между хостом сети и роутером</w:t>
            </w:r>
          </w:p>
          <w:bookmarkEnd w:id="108"/>
        </w:tc>
      </w:tr>
    </w:tbl>
    <w:p>
      <w:pPr>
        <w:pStyle w:val="BodyText"/>
      </w:pPr>
      <w:r>
        <w:t xml:space="preserve">Для домашней сети для аутентификации обычно используется метод WPA2 Personal (</w:t>
      </w:r>
      <w:hyperlink w:anchor="fig-0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022"/>
          <w:p>
            <w:pPr>
              <w:pStyle w:val="Compact"/>
              <w:jc w:val="center"/>
            </w:pPr>
            <w:r>
              <w:drawing>
                <wp:inline>
                  <wp:extent cx="4267200" cy="228471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im22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84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Метод WPA2 Personal</w:t>
            </w:r>
          </w:p>
          <w:bookmarkEnd w:id="112"/>
        </w:tc>
      </w:tr>
    </w:tbl>
    <w:bookmarkEnd w:id="113"/>
    <w:bookmarkEnd w:id="114"/>
    <w:bookmarkStart w:id="1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прохождения раздела 1 внешнего курса были выполнены задания раздела 1 и была изучена характеристика безопасности в сети.</w:t>
      </w:r>
    </w:p>
    <w:bookmarkEnd w:id="115"/>
    <w:bookmarkStart w:id="119" w:name="список-литературы"/>
    <w:p>
      <w:pPr>
        <w:pStyle w:val="Heading1"/>
      </w:pPr>
      <w:r>
        <w:t xml:space="preserve">Список литературы</w:t>
      </w:r>
    </w:p>
    <w:bookmarkStart w:id="118" w:name="refs"/>
    <w:bookmarkStart w:id="117" w:name="ref-stepik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И. Канта Б. им. Основы кибербезопасности: Внешний курс на платформе Stepik [Электронный ресурс]. Платформа Stepik. URL:</w:t>
      </w:r>
      <w:r>
        <w:t xml:space="preserve"> </w:t>
      </w:r>
      <w:hyperlink r:id="rId116">
        <w:r>
          <w:rPr>
            <w:rStyle w:val="Hyperlink"/>
          </w:rPr>
          <w:t xml:space="preserve">https://stepik.org/111512</w:t>
        </w:r>
      </w:hyperlink>
      <w:r>
        <w:t xml:space="preserve"> </w:t>
      </w:r>
      <w:r>
        <w:t xml:space="preserve">(дата обращения: 28.04.2026).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16" Target="https://stepik.org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stepik.org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разделу №1 ‘Безопасность в сети’ внешнего курса на тему: ‘Основы кибербезопасности’</dc:title>
  <dc:creator>Татьяна Александровна Пономарева</dc:creator>
  <dc:language>ru-RU</dc:language>
  <cp:keywords/>
  <dcterms:created xsi:type="dcterms:W3CDTF">2026-04-29T01:32:34Z</dcterms:created>
  <dcterms:modified xsi:type="dcterms:W3CDTF">2026-04-29T01:32:34Z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