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разделу №2</w:t>
      </w:r>
      <w:r>
        <w:t xml:space="preserve"> </w:t>
      </w:r>
      <w:r>
        <w:t xml:space="preserve">‘Защита ПК/телефона’</w:t>
      </w:r>
      <w:r>
        <w:t xml:space="preserve"> </w:t>
      </w:r>
      <w:r>
        <w:t xml:space="preserve">внешнего курса на тему:</w:t>
      </w:r>
      <w:r>
        <w:t xml:space="preserve"> </w:t>
      </w:r>
      <w:r>
        <w:t xml:space="preserve">‘Основы кибербезопасности’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Выполнить задания раздела 2 и понять, что входит в защиту ПК/телефона.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Данный курс рассчитан на любого пользователя ПК/смартфона/банкомата и состоит из 3-х разделов, также он содержит лекции, материалы для доп. чтения и тесты</w:t>
      </w:r>
      <w:r>
        <w:t xml:space="preserve"> </w:t>
      </w:r>
      <w:r>
        <w:t xml:space="preserve">[1]</w:t>
      </w:r>
      <w:r>
        <w:t xml:space="preserve">.</w:t>
      </w:r>
    </w:p>
    <w:bookmarkEnd w:id="21"/>
    <w:bookmarkStart w:id="87" w:name="Xe5b4150693dbe43f9f2f32a29e28f0ecddf4411"/>
    <w:p>
      <w:pPr>
        <w:pStyle w:val="Heading1"/>
      </w:pPr>
      <w:r>
        <w:t xml:space="preserve">3. Выполнение заданий раздела 2</w:t>
      </w:r>
      <w:r>
        <w:t xml:space="preserve"> </w:t>
      </w:r>
      <w:r>
        <w:t xml:space="preserve">“Защита ПК/телефона”</w:t>
      </w:r>
    </w:p>
    <w:bookmarkStart w:id="34" w:name="шифрование-диска"/>
    <w:p>
      <w:pPr>
        <w:pStyle w:val="Heading2"/>
      </w:pPr>
      <w:r>
        <w:t xml:space="preserve">3.1 Шифрование диска</w:t>
      </w:r>
    </w:p>
    <w:p>
      <w:pPr>
        <w:pStyle w:val="FirstParagraph"/>
      </w:pPr>
      <w:r>
        <w:t xml:space="preserve">Загрузочный сектор диска можно зашифровать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99702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im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Зашифровка загрузочного сектора диска</w:t>
            </w:r>
          </w:p>
          <w:bookmarkEnd w:id="25"/>
        </w:tc>
      </w:tr>
    </w:tbl>
    <w:p>
      <w:pPr>
        <w:pStyle w:val="BodyText"/>
      </w:pPr>
      <w:r>
        <w:t xml:space="preserve">Шифрование диска основано на симметричном шифровании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261603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im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6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Основа шифрования диска</w:t>
            </w:r>
          </w:p>
          <w:bookmarkEnd w:id="29"/>
        </w:tc>
      </w:tr>
    </w:tbl>
    <w:p>
      <w:pPr>
        <w:pStyle w:val="BodyText"/>
      </w:pPr>
      <w:r>
        <w:t xml:space="preserve">С помощью BitLocker и VeraCrypt можно зашифровать жесткий диск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328316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im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83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Программы для шифрования диска</w:t>
            </w:r>
          </w:p>
          <w:bookmarkEnd w:id="33"/>
        </w:tc>
      </w:tr>
    </w:tbl>
    <w:bookmarkEnd w:id="34"/>
    <w:bookmarkStart w:id="59" w:name="пароли"/>
    <w:p>
      <w:pPr>
        <w:pStyle w:val="Heading2"/>
      </w:pPr>
      <w:r>
        <w:t xml:space="preserve">3.2 Пароли</w:t>
      </w:r>
    </w:p>
    <w:p>
      <w:pPr>
        <w:pStyle w:val="FirstParagraph"/>
      </w:pPr>
      <w:r>
        <w:t xml:space="preserve">К стойкому паролю можно отнести UQr9@j4!S$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98840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im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8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Стойкий пароль</w:t>
            </w:r>
          </w:p>
          <w:bookmarkEnd w:id="38"/>
        </w:tc>
      </w:tr>
    </w:tbl>
    <w:p>
      <w:pPr>
        <w:pStyle w:val="BodyText"/>
      </w:pPr>
      <w:r>
        <w:t xml:space="preserve">Пароли безопасно хранить в менеджерах паролей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2742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im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42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Хранение паролей</w:t>
            </w:r>
          </w:p>
          <w:bookmarkEnd w:id="42"/>
        </w:tc>
      </w:tr>
    </w:tbl>
    <w:p>
      <w:pPr>
        <w:pStyle w:val="BodyText"/>
      </w:pPr>
      <w:r>
        <w:t xml:space="preserve">Капча нужна для защиты от автоматизированных атак, направленных на получение несанкционированного доступа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53479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im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47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Функция капчи</w:t>
            </w:r>
          </w:p>
          <w:bookmarkEnd w:id="46"/>
        </w:tc>
      </w:tr>
    </w:tbl>
    <w:p>
      <w:pPr>
        <w:pStyle w:val="BodyText"/>
      </w:pPr>
      <w:r>
        <w:t xml:space="preserve">Хэширование паролей применяется для того, чтобы не хранить пароли на сервере в открытом виде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28069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im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806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Функция хэширования паролей</w:t>
            </w:r>
          </w:p>
          <w:bookmarkEnd w:id="50"/>
        </w:tc>
      </w:tr>
    </w:tbl>
    <w:p>
      <w:pPr>
        <w:pStyle w:val="BodyText"/>
      </w:pPr>
      <w:r>
        <w:t xml:space="preserve">Если злоумышленник получил доступ к серверу, то соль для улучшения стойкости паролей к атаке перебором не поможет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452033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im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20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Соль для улучшения стойкости паролей и злоумышленник</w:t>
            </w:r>
          </w:p>
          <w:bookmarkEnd w:id="54"/>
        </w:tc>
      </w:tr>
    </w:tbl>
    <w:p>
      <w:pPr>
        <w:pStyle w:val="BodyText"/>
      </w:pPr>
      <w:r>
        <w:t xml:space="preserve">Меры защиты от утечек данных атакой перебором: разные пароли на всех сайтах, периодическая смена паролей, сложные(=длинные) пароли, капча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93561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im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56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Меры защиты от утечек данных</w:t>
            </w:r>
          </w:p>
          <w:bookmarkEnd w:id="58"/>
        </w:tc>
      </w:tr>
    </w:tbl>
    <w:bookmarkEnd w:id="59"/>
    <w:bookmarkStart w:id="68" w:name="фишинг"/>
    <w:p>
      <w:pPr>
        <w:pStyle w:val="Heading2"/>
      </w:pPr>
      <w:r>
        <w:t xml:space="preserve">3.3 Фишинг</w:t>
      </w:r>
    </w:p>
    <w:p>
      <w:pPr>
        <w:pStyle w:val="FirstParagraph"/>
      </w:pPr>
      <w:r>
        <w:t xml:space="preserve">Следующие ссылки являются фишинговыми, т к они маскируются под существующие сервисы и обманывают пользователей, забирая их данные (</w:t>
      </w:r>
      <w:hyperlink w:anchor="fig-0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010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im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Фишинговые ссылки</w:t>
            </w:r>
          </w:p>
          <w:bookmarkEnd w:id="63"/>
        </w:tc>
      </w:tr>
    </w:tbl>
    <w:p>
      <w:pPr>
        <w:pStyle w:val="BodyText"/>
      </w:pPr>
      <w:r>
        <w:t xml:space="preserve">Фишинговый имейл может прийти от знакомого адреса (</w:t>
      </w:r>
      <w:hyperlink w:anchor="fig-0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011"/>
          <w:p>
            <w:pPr>
              <w:pStyle w:val="Compact"/>
              <w:jc w:val="center"/>
            </w:pPr>
            <w:r>
              <w:drawing>
                <wp:inline>
                  <wp:extent cx="3733800" cy="243827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im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38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Фишинговые ссылки от знакомого адреса</w:t>
            </w:r>
          </w:p>
          <w:bookmarkEnd w:id="67"/>
        </w:tc>
      </w:tr>
    </w:tbl>
    <w:bookmarkEnd w:id="68"/>
    <w:bookmarkStart w:id="77" w:name="вирусы.-примеры"/>
    <w:p>
      <w:pPr>
        <w:pStyle w:val="Heading2"/>
      </w:pPr>
      <w:r>
        <w:t xml:space="preserve">3.4 Вирусы. Примеры</w:t>
      </w:r>
    </w:p>
    <w:p>
      <w:pPr>
        <w:pStyle w:val="FirstParagraph"/>
      </w:pPr>
      <w:r>
        <w:t xml:space="preserve">Email Спуфинг - это подмена адреса отправителя в имейлах (</w:t>
      </w:r>
      <w:hyperlink w:anchor="fig-0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2"/>
          <w:p>
            <w:pPr>
              <w:pStyle w:val="Compact"/>
              <w:jc w:val="center"/>
            </w:pPr>
            <w:r>
              <w:drawing>
                <wp:inline>
                  <wp:extent cx="3733800" cy="331971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im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19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Email Спуфинг</w:t>
            </w:r>
          </w:p>
          <w:bookmarkEnd w:id="72"/>
        </w:tc>
      </w:tr>
    </w:tbl>
    <w:p>
      <w:pPr>
        <w:pStyle w:val="BodyText"/>
      </w:pPr>
      <w:r>
        <w:t xml:space="preserve">Вирус-троян маскируется под легитимную программу (</w:t>
      </w:r>
      <w:hyperlink w:anchor="fig-0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3"/>
          <w:p>
            <w:pPr>
              <w:pStyle w:val="Compact"/>
              <w:jc w:val="center"/>
            </w:pPr>
            <w:r>
              <w:drawing>
                <wp:inline>
                  <wp:extent cx="3733800" cy="2370587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im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0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Вирус-троян</w:t>
            </w:r>
          </w:p>
          <w:bookmarkEnd w:id="76"/>
        </w:tc>
      </w:tr>
    </w:tbl>
    <w:bookmarkEnd w:id="77"/>
    <w:bookmarkStart w:id="86" w:name="безопасность-мессенджеров"/>
    <w:p>
      <w:pPr>
        <w:pStyle w:val="Heading2"/>
      </w:pPr>
      <w:r>
        <w:t xml:space="preserve">3.5 Безопасность мессенджеров</w:t>
      </w:r>
    </w:p>
    <w:p>
      <w:pPr>
        <w:pStyle w:val="FirstParagraph"/>
      </w:pPr>
      <w:r>
        <w:t xml:space="preserve">Ключ шифрования в протоколе мессенджеров Signal формируется при генерации первого сообщения стороной-отправителем (</w:t>
      </w:r>
      <w:hyperlink w:anchor="fig-0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014"/>
          <w:p>
            <w:pPr>
              <w:pStyle w:val="Compact"/>
              <w:jc w:val="center"/>
            </w:pPr>
            <w:r>
              <w:drawing>
                <wp:inline>
                  <wp:extent cx="3733800" cy="224603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im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46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Ключ шифрования в протоколе мессенджеров Signal</w:t>
            </w:r>
          </w:p>
          <w:bookmarkEnd w:id="81"/>
        </w:tc>
      </w:tr>
    </w:tbl>
    <w:p>
      <w:pPr>
        <w:pStyle w:val="BodyText"/>
      </w:pPr>
      <w:r>
        <w:t xml:space="preserve">Суть сквозного шифрования состоит в том, что сообщения передаются по узлам связи (серверам) в зашифрованном виде (</w:t>
      </w:r>
      <w:hyperlink w:anchor="fig-0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5"/>
          <w:p>
            <w:pPr>
              <w:pStyle w:val="Compact"/>
              <w:jc w:val="center"/>
            </w:pPr>
            <w:r>
              <w:drawing>
                <wp:inline>
                  <wp:extent cx="3733800" cy="216532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im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65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Суть сквозного шифрования</w:t>
            </w:r>
          </w:p>
          <w:bookmarkEnd w:id="85"/>
        </w:tc>
      </w:tr>
    </w:tbl>
    <w:bookmarkEnd w:id="86"/>
    <w:bookmarkEnd w:id="87"/>
    <w:bookmarkStart w:id="8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прохождения раздела 2 внешнего курса были выполнены задания раздела 2 и была изучена характеристика защиты ПК/телефона.</w:t>
      </w:r>
    </w:p>
    <w:bookmarkEnd w:id="88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Start w:id="90" w:name="ref-stepik_course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И. Канта Б. им. Основы кибербезопасности: Внешний курс на платформе Stepik [Электронный ресурс]. Платформа Stepik. URL:</w:t>
      </w:r>
      <w:r>
        <w:t xml:space="preserve"> </w:t>
      </w:r>
      <w:hyperlink r:id="rId89">
        <w:r>
          <w:rPr>
            <w:rStyle w:val="Hyperlink"/>
          </w:rPr>
          <w:t xml:space="preserve">https://stepik.org/111512</w:t>
        </w:r>
      </w:hyperlink>
      <w:r>
        <w:t xml:space="preserve"> </w:t>
      </w:r>
      <w:r>
        <w:t xml:space="preserve">(дата обращения: 29.04.2026).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89" Target="https://stepik.org/1115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stepik.org/1115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разделу №2 ‘Защита ПК/телефона’ внешнего курса на тему: ‘Основы кибербезопасности’</dc:title>
  <dc:creator>Татьяна Александровна Пономарева</dc:creator>
  <dc:language>ru-RU</dc:language>
  <cp:keywords/>
  <dcterms:created xsi:type="dcterms:W3CDTF">2026-04-29T02:51:53Z</dcterms:created>
  <dcterms:modified xsi:type="dcterms:W3CDTF">2026-04-29T02:51:53Z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