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разделу №3</w:t>
      </w:r>
      <w:r>
        <w:t xml:space="preserve"> </w:t>
      </w:r>
      <w:r>
        <w:t xml:space="preserve">‘Криптография на практике’</w:t>
      </w:r>
      <w:r>
        <w:t xml:space="preserve"> </w:t>
      </w:r>
      <w:r>
        <w:t xml:space="preserve">внешнего курса на тему</w:t>
      </w:r>
      <w:r>
        <w:t xml:space="preserve"> </w:t>
      </w:r>
      <w:r>
        <w:t xml:space="preserve">‘Основы кибербезопасности’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задания раздела 3 и понять, что входит в криптографию на практике.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Данный курс рассчитан на любого пользователя ПК/смартфона/банкомата и состоит из 3-х разделов, также он содержит лекции, материалы для доп. чтения и тесты</w:t>
      </w:r>
      <w:r>
        <w:t xml:space="preserve"> </w:t>
      </w:r>
      <w:r>
        <w:t xml:space="preserve">[1]</w:t>
      </w:r>
      <w:r>
        <w:t xml:space="preserve">.</w:t>
      </w:r>
    </w:p>
    <w:bookmarkEnd w:id="21"/>
    <w:bookmarkStart w:id="90" w:name="Xfa46295297eb2510b025b89b6706df0417aa261"/>
    <w:p>
      <w:pPr>
        <w:pStyle w:val="Heading1"/>
      </w:pPr>
      <w:r>
        <w:t xml:space="preserve">3. Выполнение заданий раздела 3</w:t>
      </w:r>
      <w:r>
        <w:t xml:space="preserve"> </w:t>
      </w:r>
      <w:r>
        <w:t xml:space="preserve">“Криптография на практике”</w:t>
      </w:r>
    </w:p>
    <w:bookmarkStart w:id="42" w:name="введение-в-криптографию"/>
    <w:p>
      <w:pPr>
        <w:pStyle w:val="Heading2"/>
      </w:pPr>
      <w:r>
        <w:t xml:space="preserve">3.1 Введение в криптографию</w:t>
      </w:r>
    </w:p>
    <w:p>
      <w:pPr>
        <w:pStyle w:val="FirstParagraph"/>
      </w:pPr>
      <w:r>
        <w:t xml:space="preserve">В асимметричных криптографических примитивах обе стороны имеют пару ключей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8951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5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Наличие ключей у обоих сторон</w:t>
            </w:r>
          </w:p>
          <w:bookmarkEnd w:id="25"/>
        </w:tc>
      </w:tr>
    </w:tbl>
    <w:p>
      <w:pPr>
        <w:pStyle w:val="BodyText"/>
      </w:pPr>
      <w:r>
        <w:t xml:space="preserve">Криптографическая хэш-функция эффективно вычисляется, дает на выходе фиксированное число бит независимо от объема данных и стойкая к коллизиям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876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Свойства криптографической хэш-функции</w:t>
            </w:r>
          </w:p>
          <w:bookmarkEnd w:id="29"/>
        </w:tc>
      </w:tr>
    </w:tbl>
    <w:p>
      <w:pPr>
        <w:pStyle w:val="BodyText"/>
      </w:pPr>
      <w:r>
        <w:t xml:space="preserve">К алгоритмам цифровой подписи относятся RSA, ECDSA, ГОСТ Р 34.10-2012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6947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Алгоритмы цифровой подписи</w:t>
            </w:r>
          </w:p>
          <w:bookmarkEnd w:id="33"/>
        </w:tc>
      </w:tr>
    </w:tbl>
    <w:p>
      <w:pPr>
        <w:pStyle w:val="BodyText"/>
      </w:pPr>
      <w:r>
        <w:t xml:space="preserve">Код аутентификации сообщения относится к симметричным примитивам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6401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 аутентификации сообщения</w:t>
            </w:r>
          </w:p>
          <w:bookmarkEnd w:id="37"/>
        </w:tc>
      </w:tr>
    </w:tbl>
    <w:p>
      <w:pPr>
        <w:pStyle w:val="BodyText"/>
      </w:pPr>
      <w:r>
        <w:t xml:space="preserve">Обмен ключами Диффи-Хэллмана - это асимметричный примитив генерации общего секретного ключа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5981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8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Обмен ключами Диффи-Хэллмана</w:t>
            </w:r>
          </w:p>
          <w:bookmarkEnd w:id="41"/>
        </w:tc>
      </w:tr>
    </w:tbl>
    <w:bookmarkEnd w:id="42"/>
    <w:bookmarkStart w:id="63" w:name="цифровая-подпись"/>
    <w:p>
      <w:pPr>
        <w:pStyle w:val="Heading2"/>
      </w:pPr>
      <w:r>
        <w:t xml:space="preserve">3.2 Цифровая подпись</w:t>
      </w:r>
    </w:p>
    <w:p>
      <w:pPr>
        <w:pStyle w:val="FirstParagraph"/>
      </w:pPr>
      <w:r>
        <w:t xml:space="preserve">Протокол электронной подписи относится к протоколам с публичным (или открытым) ключом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8796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7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Протокол электронной подписи</w:t>
            </w:r>
          </w:p>
          <w:bookmarkEnd w:id="46"/>
        </w:tc>
      </w:tr>
    </w:tbl>
    <w:p>
      <w:pPr>
        <w:pStyle w:val="BodyText"/>
      </w:pPr>
      <w:r>
        <w:t xml:space="preserve">Алгоритм верификации электронной подписи требует на вход подпись, открытый ключ, сообщение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6626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Требования алгоритма верификации электронной подписи</w:t>
            </w:r>
          </w:p>
          <w:bookmarkEnd w:id="50"/>
        </w:tc>
      </w:tr>
    </w:tbl>
    <w:p>
      <w:pPr>
        <w:pStyle w:val="BodyText"/>
      </w:pPr>
      <w:r>
        <w:t xml:space="preserve">Электронная цифровая подпись не обеспечивает конфиденциальность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65824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Электронная цифровая подпись и конфиденциальность</w:t>
            </w:r>
          </w:p>
          <w:bookmarkEnd w:id="54"/>
        </w:tc>
      </w:tr>
    </w:tbl>
    <w:p>
      <w:pPr>
        <w:pStyle w:val="BodyText"/>
      </w:pPr>
      <w:r>
        <w:t xml:space="preserve">Усиленный квалифицированный тип сертификата электронной подписи понадобится для отправки налоговой отчетности в ФНС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2450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4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Тип сертификата электронной подписи для отправки налоговой отчетности в ФНС</w:t>
            </w:r>
          </w:p>
          <w:bookmarkEnd w:id="58"/>
        </w:tc>
      </w:tr>
    </w:tbl>
    <w:p>
      <w:pPr>
        <w:pStyle w:val="BodyText"/>
      </w:pPr>
      <w:r>
        <w:t xml:space="preserve">В удостоверяющем (сертификационном) центре можно получить квалифицированный сертификат ключа проверки электронной подписи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0"/>
          <w:p>
            <w:pPr>
              <w:pStyle w:val="Compact"/>
              <w:jc w:val="center"/>
            </w:pPr>
            <w:r>
              <w:drawing>
                <wp:inline>
                  <wp:extent cx="3733800" cy="166814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8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Организация для получения квалифицированного сертификата ключа проверки электронной подписи</w:t>
            </w:r>
          </w:p>
          <w:bookmarkEnd w:id="62"/>
        </w:tc>
      </w:tr>
    </w:tbl>
    <w:bookmarkEnd w:id="63"/>
    <w:bookmarkStart w:id="76" w:name="электронные-платежи"/>
    <w:p>
      <w:pPr>
        <w:pStyle w:val="Heading2"/>
      </w:pPr>
      <w:r>
        <w:t xml:space="preserve">3.3 Электронные платежи</w:t>
      </w:r>
    </w:p>
    <w:p>
      <w:pPr>
        <w:pStyle w:val="FirstParagraph"/>
      </w:pPr>
      <w:r>
        <w:t xml:space="preserve">Платежные системы: MasterCard, МИР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11"/>
          <w:p>
            <w:pPr>
              <w:pStyle w:val="Compact"/>
              <w:jc w:val="center"/>
            </w:pPr>
            <w:r>
              <w:drawing>
                <wp:inline>
                  <wp:extent cx="3733800" cy="373977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im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9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Платежные системы</w:t>
            </w:r>
          </w:p>
          <w:bookmarkEnd w:id="67"/>
        </w:tc>
      </w:tr>
    </w:tbl>
    <w:p>
      <w:pPr>
        <w:pStyle w:val="BodyText"/>
      </w:pPr>
      <w:r>
        <w:t xml:space="preserve">Примеры многофакторной аутентификации: комбинация проверки пароля и кода в sms сообщении, комбинация кода в sms сообщении и отпечатка пальца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12"/>
          <w:p>
            <w:pPr>
              <w:pStyle w:val="Compact"/>
              <w:jc w:val="center"/>
            </w:pPr>
            <w:r>
              <w:drawing>
                <wp:inline>
                  <wp:extent cx="3733800" cy="3234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Примеры многофакторной аутентификации</w:t>
            </w:r>
          </w:p>
          <w:bookmarkEnd w:id="71"/>
        </w:tc>
      </w:tr>
    </w:tbl>
    <w:p>
      <w:pPr>
        <w:pStyle w:val="BodyText"/>
      </w:pPr>
      <w:r>
        <w:t xml:space="preserve">При онлайн платежах сегодня используется многофакторная аутентификация покупателя перед банком-эмитентом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3"/>
          <w:p>
            <w:pPr>
              <w:pStyle w:val="Compact"/>
              <w:jc w:val="center"/>
            </w:pPr>
            <w:r>
              <w:drawing>
                <wp:inline>
                  <wp:extent cx="3733800" cy="213944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im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Онлайн платежи и использование многофакторной аутентификации</w:t>
            </w:r>
          </w:p>
          <w:bookmarkEnd w:id="75"/>
        </w:tc>
      </w:tr>
    </w:tbl>
    <w:bookmarkEnd w:id="76"/>
    <w:bookmarkStart w:id="89" w:name="блокчейн"/>
    <w:p>
      <w:pPr>
        <w:pStyle w:val="Heading2"/>
      </w:pPr>
      <w:r>
        <w:t xml:space="preserve">3.4 Блокчейн</w:t>
      </w:r>
    </w:p>
    <w:p>
      <w:pPr>
        <w:pStyle w:val="FirstParagraph"/>
      </w:pPr>
      <w:r>
        <w:t xml:space="preserve">Свойство криптографической хэш-функции, т е сложность нахождения прообраза, используется в доказательстве работы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4"/>
          <w:p>
            <w:pPr>
              <w:pStyle w:val="Compact"/>
              <w:jc w:val="center"/>
            </w:pPr>
            <w:r>
              <w:drawing>
                <wp:inline>
                  <wp:extent cx="3733800" cy="207481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Свойство криптографической хэш-функции</w:t>
            </w:r>
          </w:p>
          <w:bookmarkEnd w:id="80"/>
        </w:tc>
      </w:tr>
    </w:tbl>
    <w:p>
      <w:pPr>
        <w:pStyle w:val="BodyText"/>
      </w:pPr>
      <w:r>
        <w:t xml:space="preserve">Консенсус в некоторых системах блокчейн обладает свойствами консенсуса, постоянства, живучести, открытости (</w:t>
      </w:r>
      <w:hyperlink w:anchor="fig-0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5"/>
          <w:p>
            <w:pPr>
              <w:pStyle w:val="Compact"/>
              <w:jc w:val="center"/>
            </w:pPr>
            <w:r>
              <w:drawing>
                <wp:inline>
                  <wp:extent cx="3733800" cy="303233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2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Консенсус в некоторых системах блокчейн</w:t>
            </w:r>
          </w:p>
          <w:bookmarkEnd w:id="84"/>
        </w:tc>
      </w:tr>
    </w:tbl>
    <w:p>
      <w:pPr>
        <w:pStyle w:val="BodyText"/>
      </w:pPr>
      <w:r>
        <w:t xml:space="preserve">Участники блокчейна хранят секретные ключи криптографического примитива цифровой подписи (</w:t>
      </w:r>
      <w:hyperlink w:anchor="fig-0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16"/>
          <w:p>
            <w:pPr>
              <w:pStyle w:val="Compact"/>
              <w:jc w:val="center"/>
            </w:pPr>
            <w:r>
              <w:drawing>
                <wp:inline>
                  <wp:extent cx="3733800" cy="209998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Криптографический примитив</w:t>
            </w:r>
          </w:p>
          <w:bookmarkEnd w:id="88"/>
        </w:tc>
      </w:tr>
    </w:tbl>
    <w:bookmarkEnd w:id="89"/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прохождения раздела 3 внешнего курса были выполнены задания раздела 3 и была изучена тема криптографии на практике.</w:t>
      </w:r>
    </w:p>
    <w:bookmarkEnd w:id="91"/>
    <w:bookmarkStart w:id="95" w:name="список-литературы"/>
    <w:p>
      <w:pPr>
        <w:pStyle w:val="Heading1"/>
      </w:pPr>
      <w:r>
        <w:t xml:space="preserve">Список литературы</w:t>
      </w:r>
    </w:p>
    <w:bookmarkStart w:id="94" w:name="refs"/>
    <w:bookmarkStart w:id="93" w:name="ref-stepik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И. Канта Б. им. Основы кибербезопасности: Внешний курс на платформе Stepik [Электронный ресурс]. Платформа Stepik. URL:</w:t>
      </w:r>
      <w:r>
        <w:t xml:space="preserve"> </w:t>
      </w:r>
      <w:hyperlink r:id="rId92">
        <w:r>
          <w:rPr>
            <w:rStyle w:val="Hyperlink"/>
          </w:rPr>
          <w:t xml:space="preserve">https://stepik.org/111512</w:t>
        </w:r>
      </w:hyperlink>
      <w:r>
        <w:t xml:space="preserve"> </w:t>
      </w:r>
      <w:r>
        <w:t xml:space="preserve">(дата обращения: 29.04.2026).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92" Target="https://stepik.org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stepik.org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разделу №3 ‘Криптография на практике’ внешнего курса на тему ‘Основы кибербезопасности’</dc:title>
  <dc:creator>Татьяна Александровна Пономарева</dc:creator>
  <dc:language>ru-RU</dc:language>
  <cp:keywords/>
  <dcterms:created xsi:type="dcterms:W3CDTF">2026-04-29T05:02:28Z</dcterms:created>
  <dcterms:modified xsi:type="dcterms:W3CDTF">2026-04-29T05:02:28Z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