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6478C" w14:textId="77777777" w:rsidR="00153F00" w:rsidRDefault="00B27802">
      <w:pPr>
        <w:spacing w:before="480" w:after="80"/>
        <w:jc w:val="center"/>
      </w:pPr>
      <w:r>
        <w:rPr>
          <w:b/>
          <w:bCs/>
          <w:color w:val="888888"/>
          <w:spacing w:val="120"/>
        </w:rPr>
        <w:t>BOARD OF DIRECTORS</w:t>
      </w:r>
    </w:p>
    <w:p w14:paraId="1B83A878" w14:textId="77777777" w:rsidR="00153F00" w:rsidRDefault="00B27802">
      <w:pPr>
        <w:spacing w:after="80"/>
        <w:jc w:val="center"/>
      </w:pPr>
      <w:r>
        <w:rPr>
          <w:b/>
          <w:bCs/>
          <w:color w:val="061828"/>
          <w:sz w:val="52"/>
          <w:szCs w:val="52"/>
        </w:rPr>
        <w:t>KeySavings Bank</w:t>
      </w:r>
    </w:p>
    <w:p w14:paraId="24E2B892" w14:textId="77777777" w:rsidR="00153F00" w:rsidRDefault="00B27802">
      <w:pPr>
        <w:spacing w:after="80"/>
        <w:jc w:val="center"/>
      </w:pPr>
      <w:r>
        <w:rPr>
          <w:color w:val="B8912A"/>
          <w:sz w:val="36"/>
          <w:szCs w:val="36"/>
        </w:rPr>
        <w:t>ALCO Report Analysis</w:t>
      </w:r>
    </w:p>
    <w:p w14:paraId="28CF7CA0" w14:textId="77777777" w:rsidR="00153F00" w:rsidRDefault="00B27802">
      <w:pPr>
        <w:spacing w:after="480"/>
        <w:jc w:val="center"/>
      </w:pPr>
      <w:r>
        <w:rPr>
          <w:color w:val="061828"/>
          <w:sz w:val="24"/>
          <w:szCs w:val="24"/>
        </w:rPr>
        <w:t>For the Month Ending March 31, 2026</w:t>
      </w:r>
    </w:p>
    <w:p w14:paraId="3AECD9D2" w14:textId="77777777" w:rsidR="00153F00" w:rsidRDefault="00153F00">
      <w:pPr>
        <w:pBdr>
          <w:bottom w:val="single" w:sz="8" w:space="1" w:color="B8912A"/>
        </w:pBdr>
        <w:spacing w:after="120"/>
      </w:pPr>
    </w:p>
    <w:p w14:paraId="2B6D2302" w14:textId="77777777" w:rsidR="00153F00" w:rsidRDefault="00153F00">
      <w:pPr>
        <w:spacing w:after="200"/>
      </w:pPr>
    </w:p>
    <w:p w14:paraId="14E4D5C7" w14:textId="77777777" w:rsidR="00153F00" w:rsidRDefault="00B27802">
      <w:pPr>
        <w:pStyle w:val="Heading1"/>
      </w:pPr>
      <w:r>
        <w:t>I.  Executive Summary</w:t>
      </w:r>
    </w:p>
    <w:p w14:paraId="29E9E2CD" w14:textId="77777777" w:rsidR="00153F00" w:rsidRDefault="00B27802">
      <w:pPr>
        <w:spacing w:after="100"/>
      </w:pPr>
      <w:r>
        <w:t>KeySavings Bank is in a fundamentally sound position with strong capital ratios, well-managed interest rate risk, and a growing loan portfolio. However, three areas warrant Board attention:</w:t>
      </w:r>
    </w:p>
    <w:p w14:paraId="0CAE8C19" w14:textId="77777777" w:rsidR="00153F00" w:rsidRDefault="00153F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3000"/>
        <w:gridCol w:w="1800"/>
      </w:tblGrid>
      <w:tr w:rsidR="00153F00" w14:paraId="52196B57" w14:textId="77777777">
        <w:trPr>
          <w:tblHeader/>
        </w:trPr>
        <w:tc>
          <w:tcPr>
            <w:tcW w:w="456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1F414259" w14:textId="77777777" w:rsidR="00153F00" w:rsidRDefault="00B27802">
            <w:r>
              <w:rPr>
                <w:b/>
                <w:bCs/>
                <w:color w:val="FFFFFF"/>
                <w:sz w:val="20"/>
                <w:szCs w:val="20"/>
              </w:rPr>
              <w:t>Item</w:t>
            </w:r>
          </w:p>
        </w:tc>
        <w:tc>
          <w:tcPr>
            <w:tcW w:w="300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259B0AB4" w14:textId="77777777" w:rsidR="00153F00" w:rsidRDefault="00B27802">
            <w:r>
              <w:rPr>
                <w:b/>
                <w:bCs/>
                <w:color w:val="FFFFFF"/>
                <w:sz w:val="20"/>
                <w:szCs w:val="20"/>
              </w:rPr>
              <w:t>Status</w:t>
            </w:r>
          </w:p>
        </w:tc>
        <w:tc>
          <w:tcPr>
            <w:tcW w:w="180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47F661F9" w14:textId="77777777" w:rsidR="00153F00" w:rsidRDefault="00B27802">
            <w:r>
              <w:rPr>
                <w:b/>
                <w:bCs/>
                <w:color w:val="FFFFFF"/>
                <w:sz w:val="20"/>
                <w:szCs w:val="20"/>
              </w:rPr>
              <w:t>Priority</w:t>
            </w:r>
          </w:p>
        </w:tc>
      </w:tr>
      <w:tr w:rsidR="00153F00" w14:paraId="750EA5AB" w14:textId="77777777">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37D94C" w14:textId="77777777" w:rsidR="00153F00" w:rsidRDefault="00B27802">
            <w:r>
              <w:rPr>
                <w:color w:val="000000"/>
                <w:sz w:val="20"/>
                <w:szCs w:val="20"/>
              </w:rPr>
              <w:t>Liquidity ratio below 20% policy minimum (17.77%)</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9819A4" w14:textId="77777777" w:rsidR="00153F00" w:rsidRDefault="00B27802">
            <w:r>
              <w:rPr>
                <w:color w:val="C00000"/>
                <w:sz w:val="20"/>
                <w:szCs w:val="20"/>
              </w:rPr>
              <w:t>Recurring breach — 9 of last 12 months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1C8B09" w14:textId="77777777" w:rsidR="00153F00" w:rsidRDefault="00B27802">
            <w:pPr>
              <w:jc w:val="center"/>
            </w:pPr>
            <w:r>
              <w:rPr>
                <w:b/>
                <w:bCs/>
                <w:color w:val="C00000"/>
                <w:sz w:val="20"/>
                <w:szCs w:val="20"/>
              </w:rPr>
              <w:t>HIGH</w:t>
            </w:r>
          </w:p>
        </w:tc>
      </w:tr>
      <w:tr w:rsidR="00153F00" w14:paraId="4031544E" w14:textId="77777777">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F68350" w14:textId="77777777" w:rsidR="00153F00" w:rsidRDefault="00B27802">
            <w:r>
              <w:rPr>
                <w:color w:val="000000"/>
                <w:sz w:val="20"/>
                <w:szCs w:val="20"/>
              </w:rPr>
              <w:t>Return on Assets below 0.60% policy (0.46%)</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186703" w14:textId="77777777" w:rsidR="00153F00" w:rsidRDefault="00B27802">
            <w:r>
              <w:rPr>
                <w:color w:val="7F5500"/>
                <w:sz w:val="20"/>
                <w:szCs w:val="20"/>
              </w:rPr>
              <w:t>Improving — 12-month projection shows compliance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34947E" w14:textId="77777777" w:rsidR="00153F00" w:rsidRDefault="00B27802">
            <w:pPr>
              <w:jc w:val="center"/>
            </w:pPr>
            <w:r>
              <w:rPr>
                <w:b/>
                <w:bCs/>
                <w:color w:val="7F5500"/>
                <w:sz w:val="20"/>
                <w:szCs w:val="20"/>
              </w:rPr>
              <w:t>MEDIUM</w:t>
            </w:r>
          </w:p>
        </w:tc>
      </w:tr>
      <w:tr w:rsidR="00153F00" w14:paraId="760F6597" w14:textId="77777777">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7C0675" w14:textId="77777777" w:rsidR="00153F00" w:rsidRDefault="00B27802">
            <w:r>
              <w:rPr>
                <w:color w:val="000000"/>
                <w:sz w:val="20"/>
                <w:szCs w:val="20"/>
              </w:rPr>
              <w:t>AFS unrealized loss would pressure capital in +300bps shock</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109358" w14:textId="77777777" w:rsidR="00153F00" w:rsidRDefault="00B27802">
            <w:r>
              <w:rPr>
                <w:color w:val="7F5500"/>
                <w:sz w:val="20"/>
                <w:szCs w:val="20"/>
              </w:rPr>
              <w:t>BV leverage falls to 4.67% — monitoring warranted</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F14C77" w14:textId="77777777" w:rsidR="00153F00" w:rsidRDefault="00B27802">
            <w:pPr>
              <w:jc w:val="center"/>
            </w:pPr>
            <w:r>
              <w:rPr>
                <w:b/>
                <w:bCs/>
                <w:color w:val="7F5500"/>
                <w:sz w:val="20"/>
                <w:szCs w:val="20"/>
              </w:rPr>
              <w:t>MONITOR</w:t>
            </w:r>
          </w:p>
        </w:tc>
      </w:tr>
      <w:tr w:rsidR="00153F00" w14:paraId="6FAEA704" w14:textId="77777777">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B9556E" w14:textId="77777777" w:rsidR="00153F00" w:rsidRDefault="00B27802">
            <w:r>
              <w:rPr>
                <w:color w:val="000000"/>
                <w:sz w:val="20"/>
                <w:szCs w:val="20"/>
              </w:rPr>
              <w:t>Capital ratios — all above policy</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0F354E" w14:textId="77777777" w:rsidR="00153F00" w:rsidRDefault="00B27802">
            <w:r>
              <w:rPr>
                <w:color w:val="375623"/>
                <w:sz w:val="20"/>
                <w:szCs w:val="20"/>
              </w:rPr>
              <w:t>All ratios compliant and well above minimums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CAABB" w14:textId="77777777" w:rsidR="00153F00" w:rsidRDefault="00B27802">
            <w:pPr>
              <w:jc w:val="center"/>
            </w:pPr>
            <w:r>
              <w:rPr>
                <w:b/>
                <w:bCs/>
                <w:color w:val="375623"/>
                <w:sz w:val="20"/>
                <w:szCs w:val="20"/>
              </w:rPr>
              <w:t>STRONG</w:t>
            </w:r>
          </w:p>
        </w:tc>
      </w:tr>
      <w:tr w:rsidR="00153F00" w14:paraId="0CB7EF2E" w14:textId="77777777">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4A318D" w14:textId="77777777" w:rsidR="00153F00" w:rsidRDefault="00B27802">
            <w:r>
              <w:rPr>
                <w:color w:val="000000"/>
                <w:sz w:val="20"/>
                <w:szCs w:val="20"/>
              </w:rPr>
              <w:t>Interest rate risk — all scenarios within policy</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5BB3AF" w14:textId="77777777" w:rsidR="00153F00" w:rsidRDefault="00B27802">
            <w:r>
              <w:rPr>
                <w:color w:val="375623"/>
                <w:sz w:val="20"/>
                <w:szCs w:val="20"/>
              </w:rPr>
              <w:t>All 24 shock metrics compliant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0902A8" w14:textId="77777777" w:rsidR="00153F00" w:rsidRDefault="00B27802">
            <w:pPr>
              <w:jc w:val="center"/>
            </w:pPr>
            <w:r>
              <w:rPr>
                <w:b/>
                <w:bCs/>
                <w:color w:val="375623"/>
                <w:sz w:val="20"/>
                <w:szCs w:val="20"/>
              </w:rPr>
              <w:t>STRONG</w:t>
            </w:r>
          </w:p>
        </w:tc>
      </w:tr>
    </w:tbl>
    <w:p w14:paraId="075F6CD7" w14:textId="77777777" w:rsidR="00153F00" w:rsidRDefault="00153F00">
      <w:pPr>
        <w:spacing w:after="200"/>
      </w:pPr>
    </w:p>
    <w:p w14:paraId="72DF1F43" w14:textId="77777777" w:rsidR="00153F00" w:rsidRDefault="00B27802">
      <w:pPr>
        <w:pStyle w:val="Heading1"/>
      </w:pPr>
      <w:r>
        <w:t>II.  Financial Performance</w:t>
      </w:r>
    </w:p>
    <w:p w14:paraId="74BF3F27" w14:textId="77777777" w:rsidR="00153F00" w:rsidRDefault="00B27802">
      <w:pPr>
        <w:spacing w:after="100"/>
      </w:pPr>
      <w:r>
        <w:t>Net interest margin (NIM) is expanding meaningfully. The current NIM of 3.47% on earning assets is projected to grow to 4.19% within 12 months as the loan portfolio reprices and maturing investments are reinvested at higher market rates. This translates to projected net income of $1.41 million over the next year — a 46% increase over the current annualized run rate of $967K.</w:t>
      </w:r>
    </w:p>
    <w:p w14:paraId="67E6B812" w14:textId="77777777" w:rsidR="00153F00" w:rsidRDefault="00153F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560"/>
        <w:gridCol w:w="1560"/>
        <w:gridCol w:w="2280"/>
      </w:tblGrid>
      <w:tr w:rsidR="00153F00" w14:paraId="0E336750" w14:textId="77777777">
        <w:trPr>
          <w:tblHeader/>
        </w:trPr>
        <w:tc>
          <w:tcPr>
            <w:tcW w:w="396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193082F4" w14:textId="77777777" w:rsidR="00153F00" w:rsidRDefault="00B27802">
            <w:r>
              <w:rPr>
                <w:b/>
                <w:bCs/>
                <w:color w:val="FFFFFF"/>
                <w:sz w:val="20"/>
                <w:szCs w:val="20"/>
              </w:rPr>
              <w:t>Metric</w:t>
            </w:r>
          </w:p>
        </w:tc>
        <w:tc>
          <w:tcPr>
            <w:tcW w:w="156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751C7A24" w14:textId="77777777" w:rsidR="00153F00" w:rsidRDefault="00B27802">
            <w:r>
              <w:rPr>
                <w:b/>
                <w:bCs/>
                <w:color w:val="FFFFFF"/>
                <w:sz w:val="20"/>
                <w:szCs w:val="20"/>
              </w:rPr>
              <w:t>Policy</w:t>
            </w:r>
          </w:p>
        </w:tc>
        <w:tc>
          <w:tcPr>
            <w:tcW w:w="156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6086BD6C" w14:textId="77777777" w:rsidR="00153F00" w:rsidRDefault="00B27802">
            <w:r>
              <w:rPr>
                <w:b/>
                <w:bCs/>
                <w:color w:val="FFFFFF"/>
                <w:sz w:val="20"/>
                <w:szCs w:val="20"/>
              </w:rPr>
              <w:t>Actual</w:t>
            </w:r>
          </w:p>
        </w:tc>
        <w:tc>
          <w:tcPr>
            <w:tcW w:w="228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2C1DCC4D" w14:textId="77777777" w:rsidR="00153F00" w:rsidRDefault="00B27802">
            <w:r>
              <w:rPr>
                <w:b/>
                <w:bCs/>
                <w:color w:val="FFFFFF"/>
                <w:sz w:val="20"/>
                <w:szCs w:val="20"/>
              </w:rPr>
              <w:t>Status</w:t>
            </w:r>
          </w:p>
        </w:tc>
      </w:tr>
      <w:tr w:rsidR="00153F00" w14:paraId="09A6922A"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0F2A86" w14:textId="77777777" w:rsidR="00153F00" w:rsidRDefault="00B27802">
            <w:r>
              <w:rPr>
                <w:color w:val="000000"/>
                <w:sz w:val="20"/>
                <w:szCs w:val="20"/>
              </w:rPr>
              <w:t>Net Interest Margin</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DF34F1" w14:textId="77777777" w:rsidR="00153F00" w:rsidRDefault="00B27802">
            <w:pPr>
              <w:jc w:val="center"/>
            </w:pPr>
            <w:r>
              <w:rPr>
                <w:color w:val="000000"/>
                <w:sz w:val="20"/>
                <w:szCs w:val="20"/>
              </w:rPr>
              <w:t>&gt; 2.75%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FEC85C" w14:textId="77777777" w:rsidR="00153F00" w:rsidRDefault="00B27802">
            <w:pPr>
              <w:jc w:val="center"/>
            </w:pPr>
            <w:r>
              <w:rPr>
                <w:b/>
                <w:bCs/>
                <w:color w:val="000000"/>
                <w:sz w:val="20"/>
                <w:szCs w:val="20"/>
              </w:rPr>
              <w:t>2.83%</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B593DD9" w14:textId="77777777" w:rsidR="00153F00" w:rsidRDefault="00B27802">
            <w:pPr>
              <w:jc w:val="center"/>
            </w:pPr>
            <w:r>
              <w:rPr>
                <w:b/>
                <w:bCs/>
                <w:color w:val="375623"/>
                <w:sz w:val="20"/>
                <w:szCs w:val="20"/>
              </w:rPr>
              <w:t>✓ Compliant</w:t>
            </w:r>
          </w:p>
        </w:tc>
      </w:tr>
      <w:tr w:rsidR="00153F00" w14:paraId="12FE7625"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42110D" w14:textId="77777777" w:rsidR="00153F00" w:rsidRDefault="00B27802">
            <w:r>
              <w:rPr>
                <w:color w:val="000000"/>
                <w:sz w:val="20"/>
                <w:szCs w:val="20"/>
              </w:rPr>
              <w:t>Return on Assets</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94F79D" w14:textId="77777777" w:rsidR="00153F00" w:rsidRDefault="00B27802">
            <w:pPr>
              <w:jc w:val="center"/>
            </w:pPr>
            <w:r>
              <w:rPr>
                <w:color w:val="000000"/>
                <w:sz w:val="20"/>
                <w:szCs w:val="20"/>
              </w:rPr>
              <w:t>&gt; 0.60%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EC1E59" w14:textId="77777777" w:rsidR="00153F00" w:rsidRDefault="00B27802">
            <w:pPr>
              <w:jc w:val="center"/>
            </w:pPr>
            <w:r>
              <w:rPr>
                <w:b/>
                <w:bCs/>
                <w:color w:val="000000"/>
                <w:sz w:val="20"/>
                <w:szCs w:val="20"/>
              </w:rPr>
              <w:t>0.46%</w:t>
            </w:r>
          </w:p>
        </w:tc>
        <w:tc>
          <w:tcPr>
            <w:tcW w:w="12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0D550DC8" w14:textId="77777777" w:rsidR="00153F00" w:rsidRDefault="00B27802">
            <w:pPr>
              <w:jc w:val="center"/>
            </w:pPr>
            <w:r>
              <w:rPr>
                <w:b/>
                <w:bCs/>
                <w:color w:val="C00000"/>
                <w:sz w:val="20"/>
                <w:szCs w:val="20"/>
              </w:rPr>
              <w:t>✗ Below Policy</w:t>
            </w:r>
          </w:p>
        </w:tc>
      </w:tr>
      <w:tr w:rsidR="00153F00" w14:paraId="56F0C11D"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071DAB" w14:textId="77777777" w:rsidR="00153F00" w:rsidRDefault="00B27802">
            <w:r>
              <w:rPr>
                <w:color w:val="000000"/>
                <w:sz w:val="20"/>
                <w:szCs w:val="20"/>
              </w:rPr>
              <w:t>Return on Equity</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09F3BF" w14:textId="77777777" w:rsidR="00153F00" w:rsidRDefault="00B27802">
            <w:pPr>
              <w:jc w:val="center"/>
            </w:pPr>
            <w:r>
              <w:rPr>
                <w:color w:val="000000"/>
                <w:sz w:val="20"/>
                <w:szCs w:val="20"/>
              </w:rPr>
              <w:t>&gt; 3.50%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D8E34B" w14:textId="77777777" w:rsidR="00153F00" w:rsidRDefault="00B27802">
            <w:pPr>
              <w:jc w:val="center"/>
            </w:pPr>
            <w:r>
              <w:rPr>
                <w:b/>
                <w:bCs/>
                <w:color w:val="000000"/>
                <w:sz w:val="20"/>
                <w:szCs w:val="20"/>
              </w:rPr>
              <w:t>5.00%</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294864B" w14:textId="77777777" w:rsidR="00153F00" w:rsidRDefault="00B27802">
            <w:pPr>
              <w:jc w:val="center"/>
            </w:pPr>
            <w:r>
              <w:rPr>
                <w:b/>
                <w:bCs/>
                <w:color w:val="375623"/>
                <w:sz w:val="20"/>
                <w:szCs w:val="20"/>
              </w:rPr>
              <w:t>✓ Compliant</w:t>
            </w:r>
          </w:p>
        </w:tc>
      </w:tr>
      <w:tr w:rsidR="00153F00" w14:paraId="38C99847"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2D5584" w14:textId="77777777" w:rsidR="00153F00" w:rsidRDefault="00B27802">
            <w:r>
              <w:rPr>
                <w:color w:val="000000"/>
                <w:sz w:val="20"/>
                <w:szCs w:val="20"/>
              </w:rPr>
              <w:t>Burden Ratio</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369CF0" w14:textId="77777777" w:rsidR="00153F00" w:rsidRDefault="00B27802">
            <w:pPr>
              <w:jc w:val="center"/>
            </w:pPr>
            <w:r>
              <w:rPr>
                <w:color w:val="000000"/>
                <w:sz w:val="20"/>
                <w:szCs w:val="20"/>
              </w:rPr>
              <w:t>&lt; 2.50%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2FAA48" w14:textId="77777777" w:rsidR="00153F00" w:rsidRDefault="00B27802">
            <w:pPr>
              <w:jc w:val="center"/>
            </w:pPr>
            <w:r>
              <w:rPr>
                <w:b/>
                <w:bCs/>
                <w:color w:val="000000"/>
                <w:sz w:val="20"/>
                <w:szCs w:val="20"/>
              </w:rPr>
              <w:t>2.17%</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8A4792D" w14:textId="77777777" w:rsidR="00153F00" w:rsidRDefault="00B27802">
            <w:pPr>
              <w:jc w:val="center"/>
            </w:pPr>
            <w:r>
              <w:rPr>
                <w:b/>
                <w:bCs/>
                <w:color w:val="375623"/>
                <w:sz w:val="20"/>
                <w:szCs w:val="20"/>
              </w:rPr>
              <w:t>✓ Compliant</w:t>
            </w:r>
          </w:p>
        </w:tc>
      </w:tr>
      <w:tr w:rsidR="00153F00" w14:paraId="756198AB"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E3A8F9" w14:textId="77777777" w:rsidR="00153F00" w:rsidRDefault="00B27802">
            <w:r>
              <w:rPr>
                <w:color w:val="000000"/>
                <w:sz w:val="20"/>
                <w:szCs w:val="20"/>
              </w:rPr>
              <w:t>Earning Assets/Assets</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D60F61" w14:textId="77777777" w:rsidR="00153F00" w:rsidRDefault="00B27802">
            <w:pPr>
              <w:jc w:val="center"/>
            </w:pPr>
            <w:r>
              <w:rPr>
                <w:color w:val="000000"/>
                <w:sz w:val="20"/>
                <w:szCs w:val="20"/>
              </w:rPr>
              <w:t>&gt; 90.00%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18DB8B" w14:textId="77777777" w:rsidR="00153F00" w:rsidRDefault="00B27802">
            <w:pPr>
              <w:jc w:val="center"/>
            </w:pPr>
            <w:r>
              <w:rPr>
                <w:b/>
                <w:bCs/>
                <w:color w:val="000000"/>
                <w:sz w:val="20"/>
                <w:szCs w:val="20"/>
              </w:rPr>
              <w:t>96.65%</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7AB6580" w14:textId="77777777" w:rsidR="00153F00" w:rsidRDefault="00B27802">
            <w:pPr>
              <w:jc w:val="center"/>
            </w:pPr>
            <w:r>
              <w:rPr>
                <w:b/>
                <w:bCs/>
                <w:color w:val="375623"/>
                <w:sz w:val="20"/>
                <w:szCs w:val="20"/>
              </w:rPr>
              <w:t>✓ Compliant</w:t>
            </w:r>
          </w:p>
        </w:tc>
      </w:tr>
      <w:tr w:rsidR="00153F00" w14:paraId="15811BBF"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2AC8AA" w14:textId="77777777" w:rsidR="00153F00" w:rsidRDefault="00B27802">
            <w:r>
              <w:rPr>
                <w:color w:val="000000"/>
                <w:sz w:val="20"/>
                <w:szCs w:val="20"/>
              </w:rPr>
              <w:lastRenderedPageBreak/>
              <w:t>Standard Efficiency</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60F501" w14:textId="77777777" w:rsidR="00153F00" w:rsidRDefault="00B27802">
            <w:pPr>
              <w:jc w:val="center"/>
            </w:pPr>
            <w:r>
              <w:rPr>
                <w:color w:val="000000"/>
                <w:sz w:val="20"/>
                <w:szCs w:val="20"/>
              </w:rPr>
              <w: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A3F9A3" w14:textId="77777777" w:rsidR="00153F00" w:rsidRDefault="00B27802">
            <w:pPr>
              <w:jc w:val="center"/>
            </w:pPr>
            <w:r>
              <w:rPr>
                <w:b/>
                <w:bCs/>
                <w:color w:val="000000"/>
                <w:sz w:val="20"/>
                <w:szCs w:val="20"/>
              </w:rPr>
              <w:t>82.39%</w:t>
            </w:r>
          </w:p>
        </w:tc>
        <w:tc>
          <w:tcPr>
            <w:tcW w:w="12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57ACA6A0" w14:textId="77777777" w:rsidR="00153F00" w:rsidRDefault="00B27802">
            <w:pPr>
              <w:jc w:val="center"/>
            </w:pPr>
            <w:r>
              <w:rPr>
                <w:b/>
                <w:bCs/>
                <w:color w:val="7F5500"/>
                <w:sz w:val="20"/>
                <w:szCs w:val="20"/>
              </w:rPr>
              <w:t>⚠ Monitor</w:t>
            </w:r>
          </w:p>
        </w:tc>
      </w:tr>
    </w:tbl>
    <w:p w14:paraId="15123D24" w14:textId="77777777" w:rsidR="00153F00" w:rsidRDefault="00153F00">
      <w:pPr>
        <w:spacing w:after="120"/>
      </w:pPr>
    </w:p>
    <w:p w14:paraId="77C03DE1" w14:textId="77777777" w:rsidR="00153F00" w:rsidRDefault="00B27802">
      <w:pPr>
        <w:spacing w:after="100"/>
      </w:pPr>
      <w:r>
        <w:t>The ROA shortfall (0.46% vs. 0.60% policy) is driven primarily by the overhead burden and NIM compression from the legacy low-yield investment portfolio. The efficiency ratio of 82.39% is significantly above the peer average of 57.95%, indicating overhead consumes a disproportionate share of revenue relative to peer banks. Management should be prepared to address the trajectory of the efficiency ratio as the Grafton branch opens.</w:t>
      </w:r>
    </w:p>
    <w:p w14:paraId="2512DC99" w14:textId="77777777" w:rsidR="00153F00" w:rsidRDefault="00153F00">
      <w:pPr>
        <w:spacing w:after="200"/>
      </w:pPr>
    </w:p>
    <w:p w14:paraId="5FA596CC" w14:textId="77777777" w:rsidR="00153F00" w:rsidRDefault="00B27802">
      <w:pPr>
        <w:pStyle w:val="Heading1"/>
      </w:pPr>
      <w:r>
        <w:t>III.  Capital — Strong</w:t>
      </w:r>
    </w:p>
    <w:p w14:paraId="6E96F94E" w14:textId="77777777" w:rsidR="00153F00" w:rsidRDefault="00B27802">
      <w:pPr>
        <w:spacing w:after="100"/>
      </w:pPr>
      <w:r>
        <w:t>Capital is a clear strength of the institution. All ratios are above policy minimums with meaningful headroom.</w:t>
      </w:r>
    </w:p>
    <w:p w14:paraId="30E72670" w14:textId="77777777" w:rsidR="00153F00" w:rsidRDefault="00153F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560"/>
        <w:gridCol w:w="1560"/>
        <w:gridCol w:w="2280"/>
      </w:tblGrid>
      <w:tr w:rsidR="00153F00" w14:paraId="5C230802" w14:textId="77777777">
        <w:trPr>
          <w:tblHeader/>
        </w:trPr>
        <w:tc>
          <w:tcPr>
            <w:tcW w:w="396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2EBA6F54" w14:textId="77777777" w:rsidR="00153F00" w:rsidRDefault="00B27802">
            <w:r>
              <w:rPr>
                <w:b/>
                <w:bCs/>
                <w:color w:val="FFFFFF"/>
                <w:sz w:val="20"/>
                <w:szCs w:val="20"/>
              </w:rPr>
              <w:t>Metric</w:t>
            </w:r>
          </w:p>
        </w:tc>
        <w:tc>
          <w:tcPr>
            <w:tcW w:w="156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414DBEC9" w14:textId="77777777" w:rsidR="00153F00" w:rsidRDefault="00B27802">
            <w:r>
              <w:rPr>
                <w:b/>
                <w:bCs/>
                <w:color w:val="FFFFFF"/>
                <w:sz w:val="20"/>
                <w:szCs w:val="20"/>
              </w:rPr>
              <w:t>Policy</w:t>
            </w:r>
          </w:p>
        </w:tc>
        <w:tc>
          <w:tcPr>
            <w:tcW w:w="156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5E9CF39E" w14:textId="77777777" w:rsidR="00153F00" w:rsidRDefault="00B27802">
            <w:r>
              <w:rPr>
                <w:b/>
                <w:bCs/>
                <w:color w:val="FFFFFF"/>
                <w:sz w:val="20"/>
                <w:szCs w:val="20"/>
              </w:rPr>
              <w:t>Actual</w:t>
            </w:r>
          </w:p>
        </w:tc>
        <w:tc>
          <w:tcPr>
            <w:tcW w:w="228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463AE2FE" w14:textId="77777777" w:rsidR="00153F00" w:rsidRDefault="00B27802">
            <w:r>
              <w:rPr>
                <w:b/>
                <w:bCs/>
                <w:color w:val="FFFFFF"/>
                <w:sz w:val="20"/>
                <w:szCs w:val="20"/>
              </w:rPr>
              <w:t>Status</w:t>
            </w:r>
          </w:p>
        </w:tc>
      </w:tr>
      <w:tr w:rsidR="00153F00" w14:paraId="3E47A6FD"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F7177B" w14:textId="77777777" w:rsidR="00153F00" w:rsidRDefault="00B27802">
            <w:r>
              <w:rPr>
                <w:color w:val="000000"/>
                <w:sz w:val="20"/>
                <w:szCs w:val="20"/>
              </w:rPr>
              <w:t>Capital Ratio</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4CB2F6" w14:textId="77777777" w:rsidR="00153F00" w:rsidRDefault="00B27802">
            <w:pPr>
              <w:jc w:val="center"/>
            </w:pPr>
            <w:r>
              <w:rPr>
                <w:color w:val="000000"/>
                <w:sz w:val="20"/>
                <w:szCs w:val="20"/>
              </w:rPr>
              <w:t>&gt; 8.00%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7A42B5" w14:textId="77777777" w:rsidR="00153F00" w:rsidRDefault="00B27802">
            <w:pPr>
              <w:jc w:val="center"/>
            </w:pPr>
            <w:r>
              <w:rPr>
                <w:b/>
                <w:bCs/>
                <w:color w:val="000000"/>
                <w:sz w:val="20"/>
                <w:szCs w:val="20"/>
              </w:rPr>
              <w:t>9.19%</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25E1491" w14:textId="77777777" w:rsidR="00153F00" w:rsidRDefault="00B27802">
            <w:pPr>
              <w:jc w:val="center"/>
            </w:pPr>
            <w:r>
              <w:rPr>
                <w:b/>
                <w:bCs/>
                <w:color w:val="375623"/>
                <w:sz w:val="20"/>
                <w:szCs w:val="20"/>
              </w:rPr>
              <w:t>✓ Compliant</w:t>
            </w:r>
          </w:p>
        </w:tc>
      </w:tr>
      <w:tr w:rsidR="00153F00" w14:paraId="068D960E"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DE071C" w14:textId="77777777" w:rsidR="00153F00" w:rsidRDefault="00B27802">
            <w:r>
              <w:rPr>
                <w:color w:val="000000"/>
                <w:sz w:val="20"/>
                <w:szCs w:val="20"/>
              </w:rPr>
              <w:t>Leverage Ratio</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C396CA" w14:textId="77777777" w:rsidR="00153F00" w:rsidRDefault="00B27802">
            <w:pPr>
              <w:jc w:val="center"/>
            </w:pPr>
            <w:r>
              <w:rPr>
                <w:color w:val="000000"/>
                <w:sz w:val="20"/>
                <w:szCs w:val="20"/>
              </w:rPr>
              <w:t>&gt; 8.00%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7C8026" w14:textId="77777777" w:rsidR="00153F00" w:rsidRDefault="00B27802">
            <w:pPr>
              <w:jc w:val="center"/>
            </w:pPr>
            <w:r>
              <w:rPr>
                <w:b/>
                <w:bCs/>
                <w:color w:val="000000"/>
                <w:sz w:val="20"/>
                <w:szCs w:val="20"/>
              </w:rPr>
              <w:t>9.00%</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64D178E" w14:textId="77777777" w:rsidR="00153F00" w:rsidRDefault="00B27802">
            <w:pPr>
              <w:jc w:val="center"/>
            </w:pPr>
            <w:r>
              <w:rPr>
                <w:b/>
                <w:bCs/>
                <w:color w:val="375623"/>
                <w:sz w:val="20"/>
                <w:szCs w:val="20"/>
              </w:rPr>
              <w:t>✓ Compliant</w:t>
            </w:r>
          </w:p>
        </w:tc>
      </w:tr>
      <w:tr w:rsidR="00153F00" w14:paraId="55C43780"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C2471F" w14:textId="77777777" w:rsidR="00153F00" w:rsidRDefault="00B27802">
            <w:r>
              <w:rPr>
                <w:color w:val="000000"/>
                <w:sz w:val="20"/>
                <w:szCs w:val="20"/>
              </w:rPr>
              <w:t>Common Equity Tier 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2F0DEF" w14:textId="77777777" w:rsidR="00153F00" w:rsidRDefault="00B27802">
            <w:pPr>
              <w:jc w:val="center"/>
            </w:pPr>
            <w:r>
              <w:rPr>
                <w:color w:val="000000"/>
                <w:sz w:val="20"/>
                <w:szCs w:val="20"/>
              </w:rPr>
              <w:t>&gt; 10.00%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3660F9" w14:textId="77777777" w:rsidR="00153F00" w:rsidRDefault="00B27802">
            <w:pPr>
              <w:jc w:val="center"/>
            </w:pPr>
            <w:r>
              <w:rPr>
                <w:b/>
                <w:bCs/>
                <w:color w:val="000000"/>
                <w:sz w:val="20"/>
                <w:szCs w:val="20"/>
              </w:rPr>
              <w:t>10.76%</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132D28D" w14:textId="77777777" w:rsidR="00153F00" w:rsidRDefault="00B27802">
            <w:pPr>
              <w:jc w:val="center"/>
            </w:pPr>
            <w:r>
              <w:rPr>
                <w:b/>
                <w:bCs/>
                <w:color w:val="375623"/>
                <w:sz w:val="20"/>
                <w:szCs w:val="20"/>
              </w:rPr>
              <w:t>✓ Compliant</w:t>
            </w:r>
          </w:p>
        </w:tc>
      </w:tr>
      <w:tr w:rsidR="00153F00" w14:paraId="2FFEBD78"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920E47" w14:textId="77777777" w:rsidR="00153F00" w:rsidRDefault="00B27802">
            <w:r>
              <w:rPr>
                <w:color w:val="000000"/>
                <w:sz w:val="20"/>
                <w:szCs w:val="20"/>
              </w:rPr>
              <w:t>Risk-Based Tier 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3A9F65" w14:textId="77777777" w:rsidR="00153F00" w:rsidRDefault="00B27802">
            <w:pPr>
              <w:jc w:val="center"/>
            </w:pPr>
            <w:r>
              <w:rPr>
                <w:color w:val="000000"/>
                <w:sz w:val="20"/>
                <w:szCs w:val="20"/>
              </w:rPr>
              <w:t>&gt; 8.00%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01CB38" w14:textId="77777777" w:rsidR="00153F00" w:rsidRDefault="00B27802">
            <w:pPr>
              <w:jc w:val="center"/>
            </w:pPr>
            <w:r>
              <w:rPr>
                <w:b/>
                <w:bCs/>
                <w:color w:val="000000"/>
                <w:sz w:val="20"/>
                <w:szCs w:val="20"/>
              </w:rPr>
              <w:t>10.76%</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0DE01FB" w14:textId="77777777" w:rsidR="00153F00" w:rsidRDefault="00B27802">
            <w:pPr>
              <w:jc w:val="center"/>
            </w:pPr>
            <w:r>
              <w:rPr>
                <w:b/>
                <w:bCs/>
                <w:color w:val="375623"/>
                <w:sz w:val="20"/>
                <w:szCs w:val="20"/>
              </w:rPr>
              <w:t>✓ Compliant</w:t>
            </w:r>
          </w:p>
        </w:tc>
      </w:tr>
      <w:tr w:rsidR="00153F00" w14:paraId="71D1FBB8"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B782C7" w14:textId="77777777" w:rsidR="00153F00" w:rsidRDefault="00B27802">
            <w:r>
              <w:rPr>
                <w:color w:val="000000"/>
                <w:sz w:val="20"/>
                <w:szCs w:val="20"/>
              </w:rPr>
              <w:t>Risk-Based Tier 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20F27F" w14:textId="77777777" w:rsidR="00153F00" w:rsidRDefault="00B27802">
            <w:pPr>
              <w:jc w:val="center"/>
            </w:pPr>
            <w:r>
              <w:rPr>
                <w:color w:val="000000"/>
                <w:sz w:val="20"/>
                <w:szCs w:val="20"/>
              </w:rPr>
              <w:t>&gt; 10.00%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03C2B0" w14:textId="77777777" w:rsidR="00153F00" w:rsidRDefault="00B27802">
            <w:pPr>
              <w:jc w:val="center"/>
            </w:pPr>
            <w:r>
              <w:rPr>
                <w:b/>
                <w:bCs/>
                <w:color w:val="000000"/>
                <w:sz w:val="20"/>
                <w:szCs w:val="20"/>
              </w:rPr>
              <w:t>11.00%</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F509788" w14:textId="77777777" w:rsidR="00153F00" w:rsidRDefault="00B27802">
            <w:pPr>
              <w:jc w:val="center"/>
            </w:pPr>
            <w:r>
              <w:rPr>
                <w:b/>
                <w:bCs/>
                <w:color w:val="375623"/>
                <w:sz w:val="20"/>
                <w:szCs w:val="20"/>
              </w:rPr>
              <w:t>✓ Compliant</w:t>
            </w:r>
          </w:p>
        </w:tc>
      </w:tr>
    </w:tbl>
    <w:p w14:paraId="1FB2AE58" w14:textId="77777777" w:rsidR="00153F00" w:rsidRDefault="00153F00">
      <w:pPr>
        <w:spacing w:after="120"/>
      </w:pPr>
    </w:p>
    <w:p w14:paraId="24D71A0C" w14:textId="77777777" w:rsidR="00153F00" w:rsidRDefault="00B27802">
      <w:pPr>
        <w:spacing w:after="100"/>
      </w:pPr>
      <w:r>
        <w:t>The Economic Value of Equity (EVE) leverage ratio of 10.25% provides meaningful buffer above the book value leverage. Under a +300 basis point immediate shock, EVE leverage declines to 7.88% — still manageable, though approaching stress territory. The Board should note the distinction between the EVE leverage ratio (10.25%) and the book value leverage ratio adjusted for AOCI (7.53%), which reflects the drag from the investment portfolio's unrealized loss position.</w:t>
      </w:r>
    </w:p>
    <w:p w14:paraId="6B0EFB0D" w14:textId="77777777" w:rsidR="00153F00" w:rsidRDefault="00153F00">
      <w:pPr>
        <w:spacing w:after="200"/>
      </w:pPr>
    </w:p>
    <w:p w14:paraId="38C20082" w14:textId="77777777" w:rsidR="00153F00" w:rsidRDefault="00B27802">
      <w:pPr>
        <w:pStyle w:val="Heading1"/>
      </w:pPr>
      <w:r>
        <w:t>IV.  Liquidity — Below Policy (Board Action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560"/>
        <w:gridCol w:w="1560"/>
        <w:gridCol w:w="2280"/>
      </w:tblGrid>
      <w:tr w:rsidR="00153F00" w14:paraId="1A8DB084" w14:textId="77777777">
        <w:trPr>
          <w:tblHeader/>
        </w:trPr>
        <w:tc>
          <w:tcPr>
            <w:tcW w:w="396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059A4C87" w14:textId="77777777" w:rsidR="00153F00" w:rsidRDefault="00B27802">
            <w:r>
              <w:rPr>
                <w:b/>
                <w:bCs/>
                <w:color w:val="FFFFFF"/>
                <w:sz w:val="20"/>
                <w:szCs w:val="20"/>
              </w:rPr>
              <w:t>Metric</w:t>
            </w:r>
          </w:p>
        </w:tc>
        <w:tc>
          <w:tcPr>
            <w:tcW w:w="156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0B768D98" w14:textId="77777777" w:rsidR="00153F00" w:rsidRDefault="00B27802">
            <w:r>
              <w:rPr>
                <w:b/>
                <w:bCs/>
                <w:color w:val="FFFFFF"/>
                <w:sz w:val="20"/>
                <w:szCs w:val="20"/>
              </w:rPr>
              <w:t>Policy</w:t>
            </w:r>
          </w:p>
        </w:tc>
        <w:tc>
          <w:tcPr>
            <w:tcW w:w="156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5E22BCAF" w14:textId="77777777" w:rsidR="00153F00" w:rsidRDefault="00B27802">
            <w:r>
              <w:rPr>
                <w:b/>
                <w:bCs/>
                <w:color w:val="FFFFFF"/>
                <w:sz w:val="20"/>
                <w:szCs w:val="20"/>
              </w:rPr>
              <w:t>Actual</w:t>
            </w:r>
          </w:p>
        </w:tc>
        <w:tc>
          <w:tcPr>
            <w:tcW w:w="228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75AD75D0" w14:textId="77777777" w:rsidR="00153F00" w:rsidRDefault="00B27802">
            <w:r>
              <w:rPr>
                <w:b/>
                <w:bCs/>
                <w:color w:val="FFFFFF"/>
                <w:sz w:val="20"/>
                <w:szCs w:val="20"/>
              </w:rPr>
              <w:t>Status</w:t>
            </w:r>
          </w:p>
        </w:tc>
      </w:tr>
      <w:tr w:rsidR="00153F00" w14:paraId="5936BF26"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B9667C" w14:textId="77777777" w:rsidR="00153F00" w:rsidRDefault="00B27802">
            <w:r>
              <w:rPr>
                <w:color w:val="000000"/>
                <w:sz w:val="20"/>
                <w:szCs w:val="20"/>
              </w:rPr>
              <w:t>Liquidity Ratio</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9D752C" w14:textId="77777777" w:rsidR="00153F00" w:rsidRDefault="00B27802">
            <w:pPr>
              <w:jc w:val="center"/>
            </w:pPr>
            <w:r>
              <w:rPr>
                <w:color w:val="000000"/>
                <w:sz w:val="20"/>
                <w:szCs w:val="20"/>
              </w:rPr>
              <w:t>&gt; 20.00%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A4CF75" w14:textId="77777777" w:rsidR="00153F00" w:rsidRDefault="00B27802">
            <w:pPr>
              <w:jc w:val="center"/>
            </w:pPr>
            <w:r>
              <w:rPr>
                <w:b/>
                <w:bCs/>
                <w:color w:val="C00000"/>
                <w:sz w:val="20"/>
                <w:szCs w:val="20"/>
              </w:rPr>
              <w:t>17.77%</w:t>
            </w:r>
          </w:p>
        </w:tc>
        <w:tc>
          <w:tcPr>
            <w:tcW w:w="12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77B7975D" w14:textId="77777777" w:rsidR="00153F00" w:rsidRDefault="00B27802">
            <w:pPr>
              <w:jc w:val="center"/>
            </w:pPr>
            <w:r>
              <w:rPr>
                <w:b/>
                <w:bCs/>
                <w:color w:val="C00000"/>
                <w:sz w:val="20"/>
                <w:szCs w:val="20"/>
              </w:rPr>
              <w:t>✗ Below Policy</w:t>
            </w:r>
          </w:p>
        </w:tc>
      </w:tr>
      <w:tr w:rsidR="00153F00" w14:paraId="3EA13987"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4FF218" w14:textId="77777777" w:rsidR="00153F00" w:rsidRDefault="00B27802">
            <w:r>
              <w:rPr>
                <w:color w:val="000000"/>
                <w:sz w:val="20"/>
                <w:szCs w:val="20"/>
              </w:rPr>
              <w:t>Brokered Deposits/Total Assets</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073BAA" w14:textId="77777777" w:rsidR="00153F00" w:rsidRDefault="00B27802">
            <w:pPr>
              <w:jc w:val="center"/>
            </w:pPr>
            <w:r>
              <w:rPr>
                <w:color w:val="000000"/>
                <w:sz w:val="20"/>
                <w:szCs w:val="20"/>
              </w:rPr>
              <w:t>&lt; 25.00%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88C464" w14:textId="77777777" w:rsidR="00153F00" w:rsidRDefault="00B27802">
            <w:pPr>
              <w:jc w:val="center"/>
            </w:pPr>
            <w:r>
              <w:rPr>
                <w:b/>
                <w:bCs/>
                <w:color w:val="375623"/>
                <w:sz w:val="20"/>
                <w:szCs w:val="20"/>
              </w:rPr>
              <w:t>12.26%</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3E33627" w14:textId="77777777" w:rsidR="00153F00" w:rsidRDefault="00B27802">
            <w:pPr>
              <w:jc w:val="center"/>
            </w:pPr>
            <w:r>
              <w:rPr>
                <w:b/>
                <w:bCs/>
                <w:color w:val="375623"/>
                <w:sz w:val="20"/>
                <w:szCs w:val="20"/>
              </w:rPr>
              <w:t>✓ Compliant</w:t>
            </w:r>
          </w:p>
        </w:tc>
      </w:tr>
      <w:tr w:rsidR="00153F00" w14:paraId="5AFA16EC"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28D532" w14:textId="77777777" w:rsidR="00153F00" w:rsidRDefault="00B27802">
            <w:r>
              <w:rPr>
                <w:color w:val="000000"/>
                <w:sz w:val="20"/>
                <w:szCs w:val="20"/>
              </w:rPr>
              <w:t>FHLBC Advances/Total Assets</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87C13F" w14:textId="77777777" w:rsidR="00153F00" w:rsidRDefault="00B27802">
            <w:pPr>
              <w:jc w:val="center"/>
            </w:pPr>
            <w:r>
              <w:rPr>
                <w:color w:val="000000"/>
                <w:sz w:val="20"/>
                <w:szCs w:val="20"/>
              </w:rPr>
              <w:t>&lt; 25.00%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0D5ECF" w14:textId="77777777" w:rsidR="00153F00" w:rsidRDefault="00B27802">
            <w:pPr>
              <w:jc w:val="center"/>
            </w:pPr>
            <w:r>
              <w:rPr>
                <w:b/>
                <w:bCs/>
                <w:color w:val="7F5500"/>
                <w:sz w:val="20"/>
                <w:szCs w:val="20"/>
              </w:rPr>
              <w:t>16.09%</w:t>
            </w:r>
          </w:p>
        </w:tc>
        <w:tc>
          <w:tcPr>
            <w:tcW w:w="12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15FB0BA3" w14:textId="77777777" w:rsidR="00153F00" w:rsidRDefault="00B27802">
            <w:pPr>
              <w:jc w:val="center"/>
            </w:pPr>
            <w:r>
              <w:rPr>
                <w:b/>
                <w:bCs/>
                <w:color w:val="7F5500"/>
                <w:sz w:val="20"/>
                <w:szCs w:val="20"/>
              </w:rPr>
              <w:t>⚠ Monitor</w:t>
            </w:r>
          </w:p>
        </w:tc>
      </w:tr>
      <w:tr w:rsidR="00153F00" w14:paraId="2AC2B3F7"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4E4A1B" w14:textId="77777777" w:rsidR="00153F00" w:rsidRDefault="00B27802">
            <w:r>
              <w:rPr>
                <w:color w:val="000000"/>
                <w:sz w:val="20"/>
                <w:szCs w:val="20"/>
              </w:rPr>
              <w:t>Loans to Total Funding</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7DB6A4" w14:textId="77777777" w:rsidR="00153F00" w:rsidRDefault="00B27802">
            <w:pPr>
              <w:jc w:val="center"/>
            </w:pPr>
            <w:r>
              <w:rPr>
                <w:color w:val="000000"/>
                <w:sz w:val="20"/>
                <w:szCs w:val="20"/>
              </w:rPr>
              <w:t>&lt; 80.00%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D47A55" w14:textId="77777777" w:rsidR="00153F00" w:rsidRDefault="00B27802">
            <w:pPr>
              <w:jc w:val="center"/>
            </w:pPr>
            <w:r>
              <w:rPr>
                <w:b/>
                <w:bCs/>
                <w:color w:val="375623"/>
                <w:sz w:val="20"/>
                <w:szCs w:val="20"/>
              </w:rPr>
              <w:t>67.66%</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865F707" w14:textId="77777777" w:rsidR="00153F00" w:rsidRDefault="00B27802">
            <w:pPr>
              <w:jc w:val="center"/>
            </w:pPr>
            <w:r>
              <w:rPr>
                <w:b/>
                <w:bCs/>
                <w:color w:val="375623"/>
                <w:sz w:val="20"/>
                <w:szCs w:val="20"/>
              </w:rPr>
              <w:t>✓ Compliant</w:t>
            </w:r>
          </w:p>
        </w:tc>
      </w:tr>
      <w:tr w:rsidR="00153F00" w14:paraId="17BC2588"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7EDE34" w14:textId="77777777" w:rsidR="00153F00" w:rsidRDefault="00B27802">
            <w:r>
              <w:rPr>
                <w:color w:val="000000"/>
                <w:sz w:val="20"/>
                <w:szCs w:val="20"/>
              </w:rPr>
              <w:t>Investments to Assets</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1F31B4" w14:textId="77777777" w:rsidR="00153F00" w:rsidRDefault="00B27802">
            <w:pPr>
              <w:jc w:val="center"/>
            </w:pPr>
            <w:r>
              <w:rPr>
                <w:color w:val="000000"/>
                <w:sz w:val="20"/>
                <w:szCs w:val="20"/>
              </w:rPr>
              <w:t>&gt; 20.00%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C2A4CE" w14:textId="77777777" w:rsidR="00153F00" w:rsidRDefault="00B27802">
            <w:pPr>
              <w:jc w:val="center"/>
            </w:pPr>
            <w:r>
              <w:rPr>
                <w:b/>
                <w:bCs/>
                <w:color w:val="375623"/>
                <w:sz w:val="20"/>
                <w:szCs w:val="20"/>
              </w:rPr>
              <w:t>34.82%</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1392137" w14:textId="77777777" w:rsidR="00153F00" w:rsidRDefault="00B27802">
            <w:pPr>
              <w:jc w:val="center"/>
            </w:pPr>
            <w:r>
              <w:rPr>
                <w:b/>
                <w:bCs/>
                <w:color w:val="375623"/>
                <w:sz w:val="20"/>
                <w:szCs w:val="20"/>
              </w:rPr>
              <w:t>✓ Compliant</w:t>
            </w:r>
          </w:p>
        </w:tc>
      </w:tr>
    </w:tbl>
    <w:p w14:paraId="27F8911F" w14:textId="77777777" w:rsidR="00153F00" w:rsidRDefault="00153F00">
      <w:pPr>
        <w:spacing w:after="120"/>
      </w:pPr>
    </w:p>
    <w:p w14:paraId="05E42D61" w14:textId="77777777" w:rsidR="00153F00" w:rsidRDefault="00B27802">
      <w:pPr>
        <w:spacing w:after="100"/>
      </w:pPr>
      <w:r>
        <w:rPr>
          <w:b/>
          <w:bCs/>
        </w:rPr>
        <w:t>The liquidity ratio at 17.77% has been below the 20% policy threshold for 9 of the last 12 months. This represents a recurring policy compliance breach that requires Board-level resolution. The Board has two options:</w:t>
      </w:r>
    </w:p>
    <w:p w14:paraId="1DAD90EC" w14:textId="77777777" w:rsidR="00153F00" w:rsidRDefault="00153F00">
      <w:pPr>
        <w:spacing w:after="80"/>
      </w:pPr>
    </w:p>
    <w:p w14:paraId="269D676E" w14:textId="77777777" w:rsidR="00153F00" w:rsidRDefault="00B27802">
      <w:pPr>
        <w:pStyle w:val="ListParagraph"/>
        <w:numPr>
          <w:ilvl w:val="0"/>
          <w:numId w:val="2"/>
        </w:numPr>
        <w:spacing w:after="80"/>
      </w:pPr>
      <w:r>
        <w:t>Direct management to present a remediation plan with a target timeline for returning to compliance; or</w:t>
      </w:r>
    </w:p>
    <w:p w14:paraId="7F95BB8D" w14:textId="77777777" w:rsidR="00153F00" w:rsidRDefault="00B27802">
      <w:pPr>
        <w:pStyle w:val="ListParagraph"/>
        <w:numPr>
          <w:ilvl w:val="0"/>
          <w:numId w:val="2"/>
        </w:numPr>
        <w:spacing w:after="80"/>
      </w:pPr>
      <w:r>
        <w:t>Formally review and amend the liquidity policy if the current 20% threshold no longer reflects the Bank's actual risk profile and available contingent funding resources.</w:t>
      </w:r>
    </w:p>
    <w:p w14:paraId="2E491333" w14:textId="77777777" w:rsidR="00153F00" w:rsidRDefault="00153F00">
      <w:pPr>
        <w:spacing w:after="100"/>
      </w:pPr>
    </w:p>
    <w:p w14:paraId="4472527C" w14:textId="77777777" w:rsidR="00153F00" w:rsidRDefault="00B27802">
      <w:pPr>
        <w:spacing w:after="100"/>
      </w:pPr>
      <w:r>
        <w:t>Context for the Board: The Bank's contingent liquidity position is strong. Total borrowing lines available exceed $59.5 million (FHLB: $46.5M, Fed Funds: $2.5M, Discount Window: $10.6M). Stress scenario modeling shows the Bank remains well above policy minimums under Normal, Moderate, Severe, and Extreme deposit outflow scenarios. The breach is a measurement-basis issue rather than an actual funding vulnerability — but the policy breach itself must be formally addressed.</w:t>
      </w:r>
    </w:p>
    <w:p w14:paraId="01FD2427" w14:textId="77777777" w:rsidR="00571B69" w:rsidRDefault="00571B69">
      <w:pPr>
        <w:spacing w:after="100"/>
      </w:pPr>
    </w:p>
    <w:p w14:paraId="0212A086" w14:textId="7DFADE18" w:rsidR="00571B69" w:rsidRDefault="00571B69">
      <w:pPr>
        <w:spacing w:after="100"/>
      </w:pPr>
      <w:r>
        <w:t>Suggested by Hilltop:</w:t>
      </w:r>
    </w:p>
    <w:p w14:paraId="36B399CB" w14:textId="77777777" w:rsidR="00571B69" w:rsidRDefault="00571B69" w:rsidP="00571B69">
      <w:pPr>
        <w:pStyle w:val="ListParagraph"/>
        <w:numPr>
          <w:ilvl w:val="0"/>
          <w:numId w:val="3"/>
        </w:numPr>
        <w:rPr>
          <w:rFonts w:eastAsia="Times New Roman"/>
          <w:b/>
          <w:bCs/>
        </w:rPr>
      </w:pPr>
      <w:r>
        <w:rPr>
          <w:rFonts w:eastAsia="Times New Roman"/>
          <w:b/>
          <w:bCs/>
        </w:rPr>
        <w:t>Remove the policy limit for Liquidity in HBS (the one in the policy reports and the Asset Liability Analysis Balance Sheet report).</w:t>
      </w:r>
    </w:p>
    <w:p w14:paraId="231FDB56" w14:textId="77777777" w:rsidR="00571B69" w:rsidRDefault="00571B69" w:rsidP="00571B69">
      <w:pPr>
        <w:pStyle w:val="ListParagraph"/>
        <w:numPr>
          <w:ilvl w:val="1"/>
          <w:numId w:val="3"/>
        </w:numPr>
        <w:rPr>
          <w:rFonts w:eastAsia="Times New Roman"/>
        </w:rPr>
      </w:pPr>
      <w:r>
        <w:rPr>
          <w:rFonts w:eastAsia="Times New Roman"/>
        </w:rPr>
        <w:t xml:space="preserve">Your policy documents do not define this ratio, but every ratio it </w:t>
      </w:r>
      <w:r>
        <w:rPr>
          <w:rFonts w:eastAsia="Times New Roman"/>
          <w:i/>
          <w:iCs/>
        </w:rPr>
        <w:t xml:space="preserve">does </w:t>
      </w:r>
      <w:r>
        <w:rPr>
          <w:rFonts w:eastAsia="Times New Roman"/>
        </w:rPr>
        <w:t>define is included in the liquidity reports (Report G10 and G13 in the liquidity packet pdf).</w:t>
      </w:r>
    </w:p>
    <w:p w14:paraId="182E3CE0" w14:textId="413F22C3" w:rsidR="00571B69" w:rsidRDefault="00571B69" w:rsidP="00571B69">
      <w:pPr>
        <w:pStyle w:val="ListParagraph"/>
        <w:numPr>
          <w:ilvl w:val="1"/>
          <w:numId w:val="3"/>
        </w:numPr>
        <w:rPr>
          <w:rFonts w:eastAsia="Times New Roman"/>
        </w:rPr>
      </w:pPr>
      <w:r>
        <w:rPr>
          <w:rFonts w:eastAsia="Times New Roman"/>
        </w:rPr>
        <w:t xml:space="preserve">I found about half of the banks I checked do not use this ratio in their policy reports. </w:t>
      </w:r>
      <w:r w:rsidRPr="00571B69">
        <w:rPr>
          <w:rFonts w:eastAsia="Times New Roman"/>
          <w:color w:val="EE0000"/>
        </w:rPr>
        <w:t>(Solution suggested</w:t>
      </w:r>
      <w:r>
        <w:rPr>
          <w:rFonts w:eastAsia="Times New Roman"/>
        </w:rPr>
        <w:t>)</w:t>
      </w:r>
    </w:p>
    <w:p w14:paraId="40E20D8E" w14:textId="77777777" w:rsidR="00571B69" w:rsidRDefault="00571B69" w:rsidP="00571B69">
      <w:pPr>
        <w:pStyle w:val="ListParagraph"/>
        <w:numPr>
          <w:ilvl w:val="0"/>
          <w:numId w:val="3"/>
        </w:numPr>
        <w:rPr>
          <w:rFonts w:eastAsia="Times New Roman"/>
          <w:b/>
          <w:bCs/>
        </w:rPr>
      </w:pPr>
      <w:r>
        <w:rPr>
          <w:rFonts w:eastAsia="Times New Roman"/>
          <w:b/>
          <w:bCs/>
        </w:rPr>
        <w:t>Add a paragraph to your policy document that defines this ratio (see below) and gives it a new policy limit.</w:t>
      </w:r>
    </w:p>
    <w:p w14:paraId="3B2ED28F" w14:textId="77777777" w:rsidR="00571B69" w:rsidRDefault="00571B69" w:rsidP="00571B69">
      <w:pPr>
        <w:pStyle w:val="ListParagraph"/>
        <w:numPr>
          <w:ilvl w:val="1"/>
          <w:numId w:val="3"/>
        </w:numPr>
        <w:rPr>
          <w:rFonts w:eastAsia="Times New Roman"/>
        </w:rPr>
      </w:pPr>
      <w:r>
        <w:rPr>
          <w:rFonts w:eastAsia="Times New Roman"/>
        </w:rPr>
        <w:t>See attached excel sheet for data on aggregate liquidity polies that I found. As you can see, the average policy limit is about 15% from policy documents and policy limits on HBS.</w:t>
      </w:r>
    </w:p>
    <w:p w14:paraId="29E7A700" w14:textId="77777777" w:rsidR="00571B69" w:rsidRDefault="00571B69">
      <w:pPr>
        <w:spacing w:after="100"/>
      </w:pPr>
    </w:p>
    <w:p w14:paraId="70D33968" w14:textId="77777777" w:rsidR="00153F00" w:rsidRDefault="00153F00">
      <w:pPr>
        <w:spacing w:after="200"/>
      </w:pPr>
    </w:p>
    <w:p w14:paraId="724E4D3B" w14:textId="77777777" w:rsidR="00153F00" w:rsidRDefault="00B27802">
      <w:pPr>
        <w:pStyle w:val="Heading1"/>
      </w:pPr>
      <w:r>
        <w:t>V.  Interest Rate Risk — Well Managed</w:t>
      </w:r>
    </w:p>
    <w:p w14:paraId="40F5B36A" w14:textId="77777777" w:rsidR="00153F00" w:rsidRDefault="00B27802">
      <w:pPr>
        <w:spacing w:after="100"/>
      </w:pPr>
      <w:r>
        <w:t>KSB is in a slightly liability-sensitive position, meaning net interest margin moves modestly in the opposite direction of interest rate changes. All 24 interest rate risk metrics are within policy limits across every shock scenario tested.</w:t>
      </w:r>
    </w:p>
    <w:p w14:paraId="2CF0C166" w14:textId="77777777" w:rsidR="00153F00" w:rsidRDefault="00153F00">
      <w:pPr>
        <w:spacing w:after="100"/>
      </w:pPr>
    </w:p>
    <w:p w14:paraId="2B38425E" w14:textId="77777777" w:rsidR="00153F00" w:rsidRDefault="00B27802">
      <w:pPr>
        <w:pStyle w:val="Heading2"/>
      </w:pPr>
      <w:r>
        <w:t>12-Month NIM Sensitivity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153F00" w14:paraId="172FE7ED"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2856E199" w14:textId="77777777" w:rsidR="00153F00" w:rsidRDefault="00B27802">
            <w:r>
              <w:rPr>
                <w:b/>
                <w:bCs/>
                <w:color w:val="FFFFFF"/>
                <w:sz w:val="20"/>
                <w:szCs w:val="20"/>
              </w:rPr>
              <w:t>Rate Scenario</w:t>
            </w:r>
          </w:p>
        </w:tc>
        <w:tc>
          <w:tcPr>
            <w:tcW w:w="240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28196F11" w14:textId="77777777" w:rsidR="00153F00" w:rsidRDefault="00B27802">
            <w:r>
              <w:rPr>
                <w:b/>
                <w:bCs/>
                <w:color w:val="FFFFFF"/>
                <w:sz w:val="20"/>
                <w:szCs w:val="20"/>
              </w:rPr>
              <w:t>NIM in 12 Months</w:t>
            </w:r>
          </w:p>
        </w:tc>
        <w:tc>
          <w:tcPr>
            <w:tcW w:w="240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72C6B9C3" w14:textId="77777777" w:rsidR="00153F00" w:rsidRDefault="00B27802">
            <w:r>
              <w:rPr>
                <w:b/>
                <w:bCs/>
                <w:color w:val="FFFFFF"/>
                <w:sz w:val="20"/>
                <w:szCs w:val="20"/>
              </w:rPr>
              <w:t>Policy Limit</w:t>
            </w:r>
          </w:p>
        </w:tc>
        <w:tc>
          <w:tcPr>
            <w:tcW w:w="216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4CD15ED5" w14:textId="77777777" w:rsidR="00153F00" w:rsidRDefault="00B27802">
            <w:r>
              <w:rPr>
                <w:b/>
                <w:bCs/>
                <w:color w:val="FFFFFF"/>
                <w:sz w:val="20"/>
                <w:szCs w:val="20"/>
              </w:rPr>
              <w:t>Status</w:t>
            </w:r>
          </w:p>
        </w:tc>
      </w:tr>
      <w:tr w:rsidR="00153F00" w14:paraId="2BF257F7"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E11AB5" w14:textId="77777777" w:rsidR="00153F00" w:rsidRDefault="00B27802">
            <w:r>
              <w:rPr>
                <w:color w:val="000000"/>
                <w:sz w:val="20"/>
                <w:szCs w:val="20"/>
              </w:rPr>
              <w:t>+200 bps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CA60A8" w14:textId="77777777" w:rsidR="00153F00" w:rsidRDefault="00B27802">
            <w:pPr>
              <w:jc w:val="center"/>
            </w:pPr>
            <w:r>
              <w:rPr>
                <w:color w:val="000000"/>
                <w:sz w:val="20"/>
                <w:szCs w:val="20"/>
              </w:rPr>
              <w:t>−4.64%</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EACAC6" w14:textId="77777777" w:rsidR="00153F00" w:rsidRDefault="00B27802">
            <w:pPr>
              <w:jc w:val="center"/>
            </w:pPr>
            <w:r>
              <w:rPr>
                <w:color w:val="000000"/>
                <w:sz w:val="20"/>
                <w:szCs w:val="20"/>
              </w:rPr>
              <w:t>−15.00%</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571DB2E" w14:textId="77777777" w:rsidR="00153F00" w:rsidRDefault="00B27802">
            <w:pPr>
              <w:jc w:val="center"/>
            </w:pPr>
            <w:r>
              <w:rPr>
                <w:b/>
                <w:bCs/>
                <w:color w:val="375623"/>
                <w:sz w:val="20"/>
                <w:szCs w:val="20"/>
              </w:rPr>
              <w:t>✓ Compliant</w:t>
            </w:r>
          </w:p>
        </w:tc>
      </w:tr>
      <w:tr w:rsidR="00153F00" w14:paraId="5D3F4F46"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257A12" w14:textId="77777777" w:rsidR="00153F00" w:rsidRDefault="00B27802">
            <w:r>
              <w:rPr>
                <w:color w:val="000000"/>
                <w:sz w:val="20"/>
                <w:szCs w:val="20"/>
              </w:rPr>
              <w:t>+300 bps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C8C820" w14:textId="77777777" w:rsidR="00153F00" w:rsidRDefault="00B27802">
            <w:pPr>
              <w:jc w:val="center"/>
            </w:pPr>
            <w:r>
              <w:rPr>
                <w:color w:val="000000"/>
                <w:sz w:val="20"/>
                <w:szCs w:val="20"/>
              </w:rPr>
              <w:t>−7.78%</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B24752" w14:textId="77777777" w:rsidR="00153F00" w:rsidRDefault="00B27802">
            <w:pPr>
              <w:jc w:val="center"/>
            </w:pPr>
            <w:r>
              <w:rPr>
                <w:color w:val="000000"/>
                <w:sz w:val="20"/>
                <w:szCs w:val="20"/>
              </w:rPr>
              <w:t>−20.00%</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E66EA82" w14:textId="77777777" w:rsidR="00153F00" w:rsidRDefault="00B27802">
            <w:pPr>
              <w:jc w:val="center"/>
            </w:pPr>
            <w:r>
              <w:rPr>
                <w:b/>
                <w:bCs/>
                <w:color w:val="375623"/>
                <w:sz w:val="20"/>
                <w:szCs w:val="20"/>
              </w:rPr>
              <w:t>✓ Compliant</w:t>
            </w:r>
          </w:p>
        </w:tc>
      </w:tr>
      <w:tr w:rsidR="00153F00" w14:paraId="49F2DD79"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D1064C" w14:textId="77777777" w:rsidR="00153F00" w:rsidRDefault="00B27802">
            <w:r>
              <w:rPr>
                <w:color w:val="000000"/>
                <w:sz w:val="20"/>
                <w:szCs w:val="20"/>
              </w:rPr>
              <w:t>−200 bps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EB7198" w14:textId="77777777" w:rsidR="00153F00" w:rsidRDefault="00B27802">
            <w:pPr>
              <w:jc w:val="center"/>
            </w:pPr>
            <w:r>
              <w:rPr>
                <w:color w:val="000000"/>
                <w:sz w:val="20"/>
                <w:szCs w:val="20"/>
              </w:rPr>
              <w:t>−2.39%</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71A1D8" w14:textId="77777777" w:rsidR="00153F00" w:rsidRDefault="00B27802">
            <w:pPr>
              <w:jc w:val="center"/>
            </w:pPr>
            <w:r>
              <w:rPr>
                <w:color w:val="000000"/>
                <w:sz w:val="20"/>
                <w:szCs w:val="20"/>
              </w:rPr>
              <w:t>−15.00%</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E5ABC34" w14:textId="77777777" w:rsidR="00153F00" w:rsidRDefault="00B27802">
            <w:pPr>
              <w:jc w:val="center"/>
            </w:pPr>
            <w:r>
              <w:rPr>
                <w:b/>
                <w:bCs/>
                <w:color w:val="375623"/>
                <w:sz w:val="20"/>
                <w:szCs w:val="20"/>
              </w:rPr>
              <w:t>✓ Compliant</w:t>
            </w:r>
          </w:p>
        </w:tc>
      </w:tr>
      <w:tr w:rsidR="00153F00" w14:paraId="277EFB52"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2748D9" w14:textId="77777777" w:rsidR="00153F00" w:rsidRDefault="00B27802">
            <w:r>
              <w:rPr>
                <w:color w:val="000000"/>
                <w:sz w:val="20"/>
                <w:szCs w:val="20"/>
              </w:rPr>
              <w:t>No Change (12-mo proj.)</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2250CC" w14:textId="77777777" w:rsidR="00153F00" w:rsidRDefault="00B27802">
            <w:pPr>
              <w:jc w:val="center"/>
            </w:pPr>
            <w:r>
              <w:rPr>
                <w:color w:val="000000"/>
                <w:sz w:val="20"/>
                <w:szCs w:val="20"/>
              </w:rPr>
              <w:t>4.19%</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828324" w14:textId="77777777" w:rsidR="00153F00" w:rsidRDefault="00B27802">
            <w:pPr>
              <w:jc w:val="center"/>
            </w:pPr>
            <w:r>
              <w:rPr>
                <w:color w:val="000000"/>
                <w:sz w:val="20"/>
                <w:szCs w:val="20"/>
              </w:rPr>
              <w:t>—</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3EDDE89" w14:textId="77777777" w:rsidR="00153F00" w:rsidRDefault="00B27802">
            <w:pPr>
              <w:jc w:val="center"/>
            </w:pPr>
            <w:r>
              <w:rPr>
                <w:b/>
                <w:bCs/>
                <w:color w:val="375623"/>
                <w:sz w:val="20"/>
                <w:szCs w:val="20"/>
              </w:rPr>
              <w:t>Improving</w:t>
            </w:r>
          </w:p>
        </w:tc>
      </w:tr>
    </w:tbl>
    <w:p w14:paraId="4D7C528D" w14:textId="77777777" w:rsidR="00153F00" w:rsidRDefault="00153F00">
      <w:pPr>
        <w:spacing w:after="120"/>
      </w:pPr>
    </w:p>
    <w:p w14:paraId="3577DC4A" w14:textId="77777777" w:rsidR="00153F00" w:rsidRDefault="00B27802">
      <w:pPr>
        <w:spacing w:after="100"/>
      </w:pPr>
      <w:r>
        <w:t>The interest rate risk trend is positive. The Bank's liability sensitivity has been decreasing over the past six months as new loan originations and investment purchases add fixed-rate assets at higher current market yields. The 12-month NIM projection of 4.19% assumes no rate changes and reflects the natural repricing benefit from the existing portfolio.</w:t>
      </w:r>
    </w:p>
    <w:p w14:paraId="524AE064" w14:textId="77777777" w:rsidR="00153F00" w:rsidRDefault="00153F00">
      <w:pPr>
        <w:spacing w:after="100"/>
      </w:pPr>
    </w:p>
    <w:p w14:paraId="1D8F508B" w14:textId="77777777" w:rsidR="00153F00" w:rsidRDefault="00B27802">
      <w:pPr>
        <w:pStyle w:val="Heading2"/>
      </w:pPr>
      <w:r>
        <w:t>Economic Value of Equity (EVE)</w:t>
      </w:r>
    </w:p>
    <w:p w14:paraId="1E11B3C6" w14:textId="77777777" w:rsidR="00153F00" w:rsidRDefault="00B27802">
      <w:pPr>
        <w:spacing w:after="100"/>
      </w:pPr>
      <w:r>
        <w:t>EVE is positively biased to rate decreases (+28.4% gain under −400 bps) and shows manageable decline under rising rate scenarios. Under +300 bps, EVE leverage falls to 7.88%. Under +400 bps, it reaches 7.11% — still above the 7% range. EVE remains within policy for all scenarios.</w:t>
      </w:r>
    </w:p>
    <w:p w14:paraId="282A6D27" w14:textId="77777777" w:rsidR="00153F00" w:rsidRDefault="00153F00">
      <w:pPr>
        <w:spacing w:after="200"/>
      </w:pPr>
    </w:p>
    <w:p w14:paraId="7EAA29CF" w14:textId="77777777" w:rsidR="00153F00" w:rsidRDefault="00B27802">
      <w:pPr>
        <w:pStyle w:val="Heading1"/>
      </w:pPr>
      <w:r>
        <w:t>VI.  Investment Portfolio — Unrealized Loss Is the Key Watch Item</w:t>
      </w:r>
    </w:p>
    <w:p w14:paraId="6112F6B0" w14:textId="77777777" w:rsidR="00153F00" w:rsidRDefault="00153F0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3F00" w14:paraId="14BB12C2"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8EADF5" w14:textId="77777777" w:rsidR="00153F00" w:rsidRDefault="00B27802">
            <w:r>
              <w:rPr>
                <w:b/>
                <w:bCs/>
                <w:color w:val="000000"/>
                <w:sz w:val="20"/>
                <w:szCs w:val="20"/>
              </w:rPr>
              <w:t>Book Value</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B458B0" w14:textId="77777777" w:rsidR="00153F00" w:rsidRDefault="00B27802">
            <w:pPr>
              <w:jc w:val="right"/>
            </w:pPr>
            <w:r>
              <w:rPr>
                <w:color w:val="000000"/>
                <w:sz w:val="20"/>
                <w:szCs w:val="20"/>
              </w:rPr>
              <w:t>$42,406,539</w:t>
            </w:r>
          </w:p>
        </w:tc>
      </w:tr>
      <w:tr w:rsidR="00153F00" w14:paraId="0253F88C"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CB6681" w14:textId="77777777" w:rsidR="00153F00" w:rsidRDefault="00B27802">
            <w:r>
              <w:rPr>
                <w:b/>
                <w:bCs/>
                <w:color w:val="000000"/>
                <w:sz w:val="20"/>
                <w:szCs w:val="20"/>
              </w:rPr>
              <w:t>Market Value</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284E64" w14:textId="77777777" w:rsidR="00153F00" w:rsidRDefault="00B27802">
            <w:pPr>
              <w:jc w:val="right"/>
            </w:pPr>
            <w:r>
              <w:rPr>
                <w:color w:val="000000"/>
                <w:sz w:val="20"/>
                <w:szCs w:val="20"/>
              </w:rPr>
              <w:t>$39,751,084</w:t>
            </w:r>
          </w:p>
        </w:tc>
      </w:tr>
      <w:tr w:rsidR="00153F00" w14:paraId="3119F9EB"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72B866" w14:textId="77777777" w:rsidR="00153F00" w:rsidRDefault="00B27802">
            <w:r>
              <w:rPr>
                <w:b/>
                <w:bCs/>
                <w:color w:val="000000"/>
                <w:sz w:val="20"/>
                <w:szCs w:val="20"/>
              </w:rPr>
              <w:t>Unrealized Loss (pre-tax)</w:t>
            </w:r>
          </w:p>
        </w:tc>
        <w:tc>
          <w:tcPr>
            <w:tcW w:w="468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E190678" w14:textId="77777777" w:rsidR="00153F00" w:rsidRDefault="00B27802">
            <w:pPr>
              <w:jc w:val="right"/>
            </w:pPr>
            <w:r>
              <w:rPr>
                <w:b/>
                <w:bCs/>
                <w:color w:val="C00000"/>
                <w:sz w:val="20"/>
                <w:szCs w:val="20"/>
              </w:rPr>
              <w:t>($2,655,456)</w:t>
            </w:r>
          </w:p>
        </w:tc>
      </w:tr>
      <w:tr w:rsidR="00153F00" w14:paraId="03FF3B05"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957B6C" w14:textId="77777777" w:rsidR="00153F00" w:rsidRDefault="00B27802">
            <w:r>
              <w:rPr>
                <w:b/>
                <w:bCs/>
                <w:color w:val="000000"/>
                <w:sz w:val="20"/>
                <w:szCs w:val="20"/>
              </w:rPr>
              <w:t>After-tax Unrealized Loss (AOCI impact)</w:t>
            </w:r>
          </w:p>
        </w:tc>
        <w:tc>
          <w:tcPr>
            <w:tcW w:w="468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1DACA9EA" w14:textId="77777777" w:rsidR="00153F00" w:rsidRDefault="00B27802">
            <w:pPr>
              <w:jc w:val="right"/>
            </w:pPr>
            <w:r>
              <w:rPr>
                <w:b/>
                <w:bCs/>
                <w:color w:val="C00000"/>
                <w:sz w:val="20"/>
                <w:szCs w:val="20"/>
              </w:rPr>
              <w:t>($2,096,465)</w:t>
            </w:r>
          </w:p>
        </w:tc>
      </w:tr>
      <w:tr w:rsidR="00153F00" w14:paraId="47873A8B"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87ED74" w14:textId="77777777" w:rsidR="00153F00" w:rsidRDefault="00B27802">
            <w:r>
              <w:rPr>
                <w:b/>
                <w:bCs/>
                <w:color w:val="000000"/>
                <w:sz w:val="20"/>
                <w:szCs w:val="20"/>
              </w:rPr>
              <w:t>Accounting Yield</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AD75A7" w14:textId="77777777" w:rsidR="00153F00" w:rsidRDefault="00B27802">
            <w:pPr>
              <w:jc w:val="right"/>
            </w:pPr>
            <w:r>
              <w:rPr>
                <w:color w:val="000000"/>
                <w:sz w:val="20"/>
                <w:szCs w:val="20"/>
              </w:rPr>
              <w:t>3.94%</w:t>
            </w:r>
          </w:p>
        </w:tc>
      </w:tr>
      <w:tr w:rsidR="00153F00" w14:paraId="4322C9B3"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DDCD26" w14:textId="77777777" w:rsidR="00153F00" w:rsidRDefault="00B27802">
            <w:r>
              <w:rPr>
                <w:b/>
                <w:bCs/>
                <w:color w:val="000000"/>
                <w:sz w:val="20"/>
                <w:szCs w:val="20"/>
              </w:rPr>
              <w:t>AFS Classification</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13FECD" w14:textId="77777777" w:rsidR="00153F00" w:rsidRDefault="00B27802">
            <w:pPr>
              <w:jc w:val="right"/>
            </w:pPr>
            <w:r>
              <w:rPr>
                <w:color w:val="000000"/>
                <w:sz w:val="20"/>
                <w:szCs w:val="20"/>
              </w:rPr>
              <w:t>90.82%</w:t>
            </w:r>
          </w:p>
        </w:tc>
      </w:tr>
      <w:tr w:rsidR="00153F00" w14:paraId="65A8DD9F"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A0BFF4" w14:textId="77777777" w:rsidR="00153F00" w:rsidRDefault="00B27802">
            <w:r>
              <w:rPr>
                <w:b/>
                <w:bCs/>
                <w:color w:val="000000"/>
                <w:sz w:val="20"/>
                <w:szCs w:val="20"/>
              </w:rPr>
              <w:t>Weighted Average Life</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F0CB02" w14:textId="77777777" w:rsidR="00153F00" w:rsidRDefault="00B27802">
            <w:pPr>
              <w:jc w:val="right"/>
            </w:pPr>
            <w:r>
              <w:rPr>
                <w:color w:val="000000"/>
                <w:sz w:val="20"/>
                <w:szCs w:val="20"/>
              </w:rPr>
              <w:t>6.23 years</w:t>
            </w:r>
          </w:p>
        </w:tc>
      </w:tr>
    </w:tbl>
    <w:p w14:paraId="1A4B0B0F" w14:textId="77777777" w:rsidR="00153F00" w:rsidRDefault="00153F00">
      <w:pPr>
        <w:spacing w:after="120"/>
      </w:pPr>
    </w:p>
    <w:p w14:paraId="4BF40050" w14:textId="77777777" w:rsidR="00153F00" w:rsidRDefault="00B27802">
      <w:pPr>
        <w:spacing w:after="100"/>
      </w:pPr>
      <w:r>
        <w:t>The 90.82% AFS classification means unrealized losses flow directly through AOCI and affect the reported leverage ratio. The current after-tax unrealized loss of ($2.10M) is depressing the book value leverage ratio from 9.00% (ex-AOCI) to 7.53% (including AOCI). The Board should understand this dynamic:</w:t>
      </w:r>
    </w:p>
    <w:p w14:paraId="6ABCC9F0" w14:textId="77777777" w:rsidR="00153F00" w:rsidRDefault="00153F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153F00" w14:paraId="3CA52774" w14:textId="77777777">
        <w:trPr>
          <w:tblHeader/>
        </w:trPr>
        <w:tc>
          <w:tcPr>
            <w:tcW w:w="336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679BE3F6" w14:textId="77777777" w:rsidR="00153F00" w:rsidRDefault="00B27802">
            <w:r>
              <w:rPr>
                <w:b/>
                <w:bCs/>
                <w:color w:val="FFFFFF"/>
                <w:sz w:val="20"/>
                <w:szCs w:val="20"/>
              </w:rPr>
              <w:t>Rate Scenario</w:t>
            </w:r>
          </w:p>
        </w:tc>
        <w:tc>
          <w:tcPr>
            <w:tcW w:w="300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62854429" w14:textId="77777777" w:rsidR="00153F00" w:rsidRDefault="00B27802">
            <w:r>
              <w:rPr>
                <w:b/>
                <w:bCs/>
                <w:color w:val="FFFFFF"/>
                <w:sz w:val="20"/>
                <w:szCs w:val="20"/>
              </w:rPr>
              <w:t>After-Tax Unrealized Loss</w:t>
            </w:r>
          </w:p>
        </w:tc>
        <w:tc>
          <w:tcPr>
            <w:tcW w:w="300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2D94B309" w14:textId="77777777" w:rsidR="00153F00" w:rsidRDefault="00B27802">
            <w:r>
              <w:rPr>
                <w:b/>
                <w:bCs/>
                <w:color w:val="FFFFFF"/>
                <w:sz w:val="20"/>
                <w:szCs w:val="20"/>
              </w:rPr>
              <w:t>BV Leverage Ratio (AOCI)</w:t>
            </w:r>
          </w:p>
        </w:tc>
      </w:tr>
      <w:tr w:rsidR="00153F00" w14:paraId="1CA888AE" w14:textId="77777777">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E7560C" w14:textId="77777777" w:rsidR="00153F00" w:rsidRDefault="00B27802">
            <w:r>
              <w:rPr>
                <w:color w:val="000000"/>
                <w:sz w:val="20"/>
                <w:szCs w:val="20"/>
              </w:rPr>
              <w:t>Current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DCDA16" w14:textId="77777777" w:rsidR="00153F00" w:rsidRDefault="00B27802">
            <w:pPr>
              <w:jc w:val="center"/>
            </w:pPr>
            <w:r>
              <w:rPr>
                <w:b/>
                <w:bCs/>
                <w:color w:val="C00000"/>
                <w:sz w:val="20"/>
                <w:szCs w:val="20"/>
              </w:rPr>
              <w:t>($2,096,465)</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A73BA9" w14:textId="77777777" w:rsidR="00153F00" w:rsidRDefault="00B27802">
            <w:pPr>
              <w:jc w:val="center"/>
            </w:pPr>
            <w:r>
              <w:rPr>
                <w:color w:val="000000"/>
                <w:sz w:val="20"/>
                <w:szCs w:val="20"/>
              </w:rPr>
              <w:t>7.53%</w:t>
            </w:r>
          </w:p>
        </w:tc>
      </w:tr>
      <w:tr w:rsidR="00153F00" w14:paraId="605C6C5F" w14:textId="77777777">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903D3A" w14:textId="77777777" w:rsidR="00153F00" w:rsidRDefault="00B27802">
            <w:r>
              <w:rPr>
                <w:color w:val="000000"/>
                <w:sz w:val="20"/>
                <w:szCs w:val="20"/>
              </w:rPr>
              <w:t>+200 bps (12-month)</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898E86" w14:textId="77777777" w:rsidR="00153F00" w:rsidRDefault="00B27802">
            <w:pPr>
              <w:jc w:val="center"/>
            </w:pPr>
            <w:r>
              <w:rPr>
                <w:b/>
                <w:bCs/>
                <w:color w:val="C00000"/>
                <w:sz w:val="20"/>
                <w:szCs w:val="20"/>
              </w:rPr>
              <w:t>($3,724,000)</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2D63D9" w14:textId="77777777" w:rsidR="00153F00" w:rsidRDefault="00B27802">
            <w:pPr>
              <w:jc w:val="center"/>
            </w:pPr>
            <w:r>
              <w:rPr>
                <w:b/>
                <w:bCs/>
                <w:color w:val="7F5500"/>
                <w:sz w:val="20"/>
                <w:szCs w:val="20"/>
              </w:rPr>
              <w:t>7.10%</w:t>
            </w:r>
          </w:p>
        </w:tc>
      </w:tr>
      <w:tr w:rsidR="00153F00" w14:paraId="760D5CFF" w14:textId="77777777">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B671F8" w14:textId="77777777" w:rsidR="00153F00" w:rsidRDefault="00B27802">
            <w:r>
              <w:rPr>
                <w:color w:val="000000"/>
                <w:sz w:val="20"/>
                <w:szCs w:val="20"/>
              </w:rPr>
              <w:t>+300 bps (12-month)</w:t>
            </w:r>
          </w:p>
        </w:tc>
        <w:tc>
          <w:tcPr>
            <w:tcW w:w="3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763F21CA" w14:textId="77777777" w:rsidR="00153F00" w:rsidRDefault="00B27802">
            <w:pPr>
              <w:jc w:val="center"/>
            </w:pPr>
            <w:r>
              <w:rPr>
                <w:b/>
                <w:bCs/>
                <w:color w:val="C00000"/>
                <w:sz w:val="20"/>
                <w:szCs w:val="20"/>
              </w:rPr>
              <w:t>($5,947,977)</w:t>
            </w:r>
          </w:p>
        </w:tc>
        <w:tc>
          <w:tcPr>
            <w:tcW w:w="3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6F003565" w14:textId="77777777" w:rsidR="00153F00" w:rsidRDefault="00B27802">
            <w:pPr>
              <w:jc w:val="center"/>
            </w:pPr>
            <w:r>
              <w:rPr>
                <w:b/>
                <w:bCs/>
                <w:color w:val="C00000"/>
                <w:sz w:val="20"/>
                <w:szCs w:val="20"/>
              </w:rPr>
              <w:t>4.67%</w:t>
            </w:r>
          </w:p>
        </w:tc>
      </w:tr>
    </w:tbl>
    <w:p w14:paraId="79B5A5D5" w14:textId="77777777" w:rsidR="00153F00" w:rsidRDefault="00153F00">
      <w:pPr>
        <w:spacing w:after="120"/>
      </w:pPr>
    </w:p>
    <w:p w14:paraId="48A7DEAE" w14:textId="77777777" w:rsidR="00153F00" w:rsidRDefault="00B27802">
      <w:pPr>
        <w:spacing w:after="100"/>
      </w:pPr>
      <w:r>
        <w:t>The +300 bps scenario producing a BV leverage ratio of 4.67% would draw regulatory attention and warrants monitoring. The Bank has been actively reinvesting at higher yields in 2026 Q1 — $1.88M in Agency CMOs and Taxable Municipal Bonds at 5.56-5.69% — which will gradually improve portfolio yield and reduce duration sensitivity. No callable bonds mature within the next six months.</w:t>
      </w:r>
    </w:p>
    <w:p w14:paraId="6B168E41" w14:textId="77777777" w:rsidR="00153F00" w:rsidRDefault="00153F00">
      <w:pPr>
        <w:spacing w:after="200"/>
      </w:pPr>
    </w:p>
    <w:p w14:paraId="5B5C33AC" w14:textId="77777777" w:rsidR="00153F00" w:rsidRDefault="00B27802">
      <w:pPr>
        <w:pStyle w:val="Heading1"/>
      </w:pPr>
      <w:r>
        <w:t>VII.  Loan Portfolio</w:t>
      </w:r>
    </w:p>
    <w:p w14:paraId="7B37223A" w14:textId="77777777" w:rsidR="00153F00" w:rsidRDefault="00153F0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3F00" w14:paraId="42234A2D"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28F59F" w14:textId="77777777" w:rsidR="00153F00" w:rsidRDefault="00B27802">
            <w:r>
              <w:rPr>
                <w:b/>
                <w:bCs/>
                <w:color w:val="000000"/>
                <w:sz w:val="20"/>
                <w:szCs w:val="20"/>
              </w:rPr>
              <w:t>Total Loans (net of reserve)</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6393A0" w14:textId="77777777" w:rsidR="00153F00" w:rsidRDefault="00B27802">
            <w:pPr>
              <w:jc w:val="right"/>
            </w:pPr>
            <w:r>
              <w:rPr>
                <w:color w:val="000000"/>
                <w:sz w:val="20"/>
                <w:szCs w:val="20"/>
              </w:rPr>
              <w:t>$78.2 million</w:t>
            </w:r>
          </w:p>
        </w:tc>
      </w:tr>
      <w:tr w:rsidR="00153F00" w14:paraId="4E93C75E"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E16D4C" w14:textId="77777777" w:rsidR="00153F00" w:rsidRDefault="00B27802">
            <w:r>
              <w:rPr>
                <w:b/>
                <w:bCs/>
                <w:color w:val="000000"/>
                <w:sz w:val="20"/>
                <w:szCs w:val="20"/>
              </w:rPr>
              <w:t>Loan Yield (March 2026)</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2AEB5B" w14:textId="77777777" w:rsidR="00153F00" w:rsidRDefault="00B27802">
            <w:pPr>
              <w:jc w:val="right"/>
            </w:pPr>
            <w:r>
              <w:rPr>
                <w:color w:val="000000"/>
                <w:sz w:val="20"/>
                <w:szCs w:val="20"/>
              </w:rPr>
              <w:t>6.31%</w:t>
            </w:r>
          </w:p>
        </w:tc>
      </w:tr>
      <w:tr w:rsidR="00153F00" w14:paraId="61C05F88"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543BAA" w14:textId="77777777" w:rsidR="00153F00" w:rsidRDefault="00B27802">
            <w:r>
              <w:rPr>
                <w:b/>
                <w:bCs/>
                <w:color w:val="000000"/>
                <w:sz w:val="20"/>
                <w:szCs w:val="20"/>
              </w:rPr>
              <w:t>Loan Yield (April 2025)</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81AC6B" w14:textId="77777777" w:rsidR="00153F00" w:rsidRDefault="00B27802">
            <w:pPr>
              <w:jc w:val="right"/>
            </w:pPr>
            <w:r>
              <w:rPr>
                <w:color w:val="000000"/>
                <w:sz w:val="20"/>
                <w:szCs w:val="20"/>
              </w:rPr>
              <w:t>6.00%</w:t>
            </w:r>
          </w:p>
        </w:tc>
      </w:tr>
      <w:tr w:rsidR="00153F00" w14:paraId="4536B763"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1DDC5E" w14:textId="77777777" w:rsidR="00153F00" w:rsidRDefault="00B27802">
            <w:r>
              <w:rPr>
                <w:b/>
                <w:bCs/>
                <w:color w:val="000000"/>
                <w:sz w:val="20"/>
                <w:szCs w:val="20"/>
              </w:rPr>
              <w:t>Variable Rate Composition</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9BD493" w14:textId="77777777" w:rsidR="00153F00" w:rsidRDefault="00B27802">
            <w:pPr>
              <w:jc w:val="right"/>
            </w:pPr>
            <w:r>
              <w:rPr>
                <w:color w:val="000000"/>
                <w:sz w:val="20"/>
                <w:szCs w:val="20"/>
              </w:rPr>
              <w:t>77.5%</w:t>
            </w:r>
          </w:p>
        </w:tc>
      </w:tr>
      <w:tr w:rsidR="00153F00" w14:paraId="0B0269B9"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261C57" w14:textId="77777777" w:rsidR="00153F00" w:rsidRDefault="00B27802">
            <w:r>
              <w:rPr>
                <w:b/>
                <w:bCs/>
                <w:color w:val="000000"/>
                <w:sz w:val="20"/>
                <w:szCs w:val="20"/>
              </w:rPr>
              <w:t>Loans/Total Deposits</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1A2B77" w14:textId="77777777" w:rsidR="00153F00" w:rsidRDefault="00B27802">
            <w:pPr>
              <w:jc w:val="right"/>
            </w:pPr>
            <w:r>
              <w:rPr>
                <w:color w:val="000000"/>
                <w:sz w:val="20"/>
                <w:szCs w:val="20"/>
              </w:rPr>
              <w:t>82.12% (within policy)</w:t>
            </w:r>
          </w:p>
        </w:tc>
      </w:tr>
    </w:tbl>
    <w:p w14:paraId="769E8A7D" w14:textId="77777777" w:rsidR="00153F00" w:rsidRDefault="00153F00">
      <w:pPr>
        <w:spacing w:after="120"/>
      </w:pPr>
    </w:p>
    <w:p w14:paraId="3B33C4A9" w14:textId="77777777" w:rsidR="00153F00" w:rsidRDefault="00B27802">
      <w:pPr>
        <w:spacing w:after="100"/>
      </w:pPr>
      <w:r>
        <w:t>Loan growth is the primary driver of improving NIM. Total loans have grown from $70.4M (April 2025) to $78.2M (March 2026) — an increase of approximately $7.8M or 11% year-over-year. The 77.5% variable rate composition provides natural rate protection and aligns with the Bank's ability to reprice assets upward in the current environment. Loan yield has risen consistently each month, from 6.00% in April 2025 to 6.31% in March 2026.</w:t>
      </w:r>
    </w:p>
    <w:p w14:paraId="4C0C6CEC" w14:textId="77777777" w:rsidR="00153F00" w:rsidRDefault="00153F00">
      <w:pPr>
        <w:spacing w:after="200"/>
      </w:pPr>
    </w:p>
    <w:p w14:paraId="13BB784C" w14:textId="77777777" w:rsidR="00153F00" w:rsidRDefault="00B27802">
      <w:pPr>
        <w:pStyle w:val="Heading1"/>
      </w:pPr>
      <w:r>
        <w:t>VIII.  Peer Comparison</w:t>
      </w:r>
    </w:p>
    <w:p w14:paraId="1A02B7EE" w14:textId="77777777" w:rsidR="00153F00" w:rsidRDefault="00B27802">
      <w:pPr>
        <w:spacing w:after="100"/>
      </w:pPr>
      <w:r>
        <w:t>KSB is compared against a peer group of 6 banks with assets between $200M and $400M. Total assets of $126M place KSB below the peer average of $321M. The key gaps are in profitability metrics:</w:t>
      </w:r>
    </w:p>
    <w:p w14:paraId="7556E167" w14:textId="77777777" w:rsidR="00153F00" w:rsidRDefault="00153F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0"/>
        <w:gridCol w:w="2760"/>
        <w:gridCol w:w="2760"/>
      </w:tblGrid>
      <w:tr w:rsidR="00153F00" w14:paraId="4EC97539" w14:textId="77777777">
        <w:trPr>
          <w:tblHeader/>
        </w:trPr>
        <w:tc>
          <w:tcPr>
            <w:tcW w:w="384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2112123F" w14:textId="77777777" w:rsidR="00153F00" w:rsidRDefault="00B27802">
            <w:r>
              <w:rPr>
                <w:b/>
                <w:bCs/>
                <w:color w:val="FFFFFF"/>
                <w:sz w:val="20"/>
                <w:szCs w:val="20"/>
              </w:rPr>
              <w:t>Metric</w:t>
            </w:r>
          </w:p>
        </w:tc>
        <w:tc>
          <w:tcPr>
            <w:tcW w:w="276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4D52CF08" w14:textId="77777777" w:rsidR="00153F00" w:rsidRDefault="00B27802">
            <w:r>
              <w:rPr>
                <w:b/>
                <w:bCs/>
                <w:color w:val="FFFFFF"/>
                <w:sz w:val="20"/>
                <w:szCs w:val="20"/>
              </w:rPr>
              <w:t>KSB</w:t>
            </w:r>
          </w:p>
        </w:tc>
        <w:tc>
          <w:tcPr>
            <w:tcW w:w="276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7CDD3F11" w14:textId="77777777" w:rsidR="00153F00" w:rsidRDefault="00B27802">
            <w:r>
              <w:rPr>
                <w:b/>
                <w:bCs/>
                <w:color w:val="FFFFFF"/>
                <w:sz w:val="20"/>
                <w:szCs w:val="20"/>
              </w:rPr>
              <w:t>Peer Average</w:t>
            </w:r>
          </w:p>
        </w:tc>
      </w:tr>
      <w:tr w:rsidR="00153F00" w14:paraId="3B8632E0" w14:textId="77777777">
        <w:tc>
          <w:tcPr>
            <w:tcW w:w="38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A2E3E6" w14:textId="77777777" w:rsidR="00153F00" w:rsidRDefault="00B27802">
            <w:r>
              <w:rPr>
                <w:color w:val="000000"/>
                <w:sz w:val="20"/>
                <w:szCs w:val="20"/>
              </w:rPr>
              <w:t>Net Interest Margin</w:t>
            </w:r>
          </w:p>
        </w:tc>
        <w:tc>
          <w:tcPr>
            <w:tcW w:w="27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010DC061" w14:textId="77777777" w:rsidR="00153F00" w:rsidRDefault="00B27802">
            <w:pPr>
              <w:jc w:val="center"/>
            </w:pPr>
            <w:r>
              <w:rPr>
                <w:b/>
                <w:bCs/>
                <w:color w:val="C00000"/>
                <w:sz w:val="20"/>
                <w:szCs w:val="20"/>
              </w:rPr>
              <w:t>2.83%</w:t>
            </w:r>
          </w:p>
        </w:tc>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9A0A34" w14:textId="77777777" w:rsidR="00153F00" w:rsidRDefault="00B27802">
            <w:pPr>
              <w:jc w:val="center"/>
            </w:pPr>
            <w:r>
              <w:rPr>
                <w:color w:val="000000"/>
                <w:sz w:val="20"/>
                <w:szCs w:val="20"/>
              </w:rPr>
              <w:t>4.14%</w:t>
            </w:r>
          </w:p>
        </w:tc>
      </w:tr>
      <w:tr w:rsidR="00153F00" w14:paraId="112FA5BB" w14:textId="77777777">
        <w:tc>
          <w:tcPr>
            <w:tcW w:w="38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5A9361" w14:textId="77777777" w:rsidR="00153F00" w:rsidRDefault="00B27802">
            <w:r>
              <w:rPr>
                <w:color w:val="000000"/>
                <w:sz w:val="20"/>
                <w:szCs w:val="20"/>
              </w:rPr>
              <w:t>Return on Assets</w:t>
            </w:r>
          </w:p>
        </w:tc>
        <w:tc>
          <w:tcPr>
            <w:tcW w:w="27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7BD4C3DB" w14:textId="77777777" w:rsidR="00153F00" w:rsidRDefault="00B27802">
            <w:pPr>
              <w:jc w:val="center"/>
            </w:pPr>
            <w:r>
              <w:rPr>
                <w:b/>
                <w:bCs/>
                <w:color w:val="C00000"/>
                <w:sz w:val="20"/>
                <w:szCs w:val="20"/>
              </w:rPr>
              <w:t>0.46%</w:t>
            </w:r>
          </w:p>
        </w:tc>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6A9DAC" w14:textId="77777777" w:rsidR="00153F00" w:rsidRDefault="00B27802">
            <w:pPr>
              <w:jc w:val="center"/>
            </w:pPr>
            <w:r>
              <w:rPr>
                <w:color w:val="000000"/>
                <w:sz w:val="20"/>
                <w:szCs w:val="20"/>
              </w:rPr>
              <w:t>1.94%</w:t>
            </w:r>
          </w:p>
        </w:tc>
      </w:tr>
      <w:tr w:rsidR="00153F00" w14:paraId="33186E9F" w14:textId="77777777">
        <w:tc>
          <w:tcPr>
            <w:tcW w:w="38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F5AD08" w14:textId="77777777" w:rsidR="00153F00" w:rsidRDefault="00B27802">
            <w:r>
              <w:rPr>
                <w:color w:val="000000"/>
                <w:sz w:val="20"/>
                <w:szCs w:val="20"/>
              </w:rPr>
              <w:t>Return on Equity</w:t>
            </w:r>
          </w:p>
        </w:tc>
        <w:tc>
          <w:tcPr>
            <w:tcW w:w="27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AFBEB4A" w14:textId="77777777" w:rsidR="00153F00" w:rsidRDefault="00B27802">
            <w:pPr>
              <w:jc w:val="center"/>
            </w:pPr>
            <w:r>
              <w:rPr>
                <w:b/>
                <w:bCs/>
                <w:color w:val="7F5500"/>
                <w:sz w:val="20"/>
                <w:szCs w:val="20"/>
              </w:rPr>
              <w:t>5.00%</w:t>
            </w:r>
          </w:p>
        </w:tc>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7E5890" w14:textId="77777777" w:rsidR="00153F00" w:rsidRDefault="00B27802">
            <w:pPr>
              <w:jc w:val="center"/>
            </w:pPr>
            <w:r>
              <w:rPr>
                <w:color w:val="000000"/>
                <w:sz w:val="20"/>
                <w:szCs w:val="20"/>
              </w:rPr>
              <w:t>17.63%</w:t>
            </w:r>
          </w:p>
        </w:tc>
      </w:tr>
      <w:tr w:rsidR="00153F00" w14:paraId="15B8763D" w14:textId="77777777">
        <w:tc>
          <w:tcPr>
            <w:tcW w:w="38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58893A" w14:textId="77777777" w:rsidR="00153F00" w:rsidRDefault="00B27802">
            <w:r>
              <w:rPr>
                <w:color w:val="000000"/>
                <w:sz w:val="20"/>
                <w:szCs w:val="20"/>
              </w:rPr>
              <w:t>Efficiency Ratio</w:t>
            </w:r>
          </w:p>
        </w:tc>
        <w:tc>
          <w:tcPr>
            <w:tcW w:w="27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1E954A24" w14:textId="77777777" w:rsidR="00153F00" w:rsidRDefault="00B27802">
            <w:pPr>
              <w:jc w:val="center"/>
            </w:pPr>
            <w:r>
              <w:rPr>
                <w:b/>
                <w:bCs/>
                <w:color w:val="C00000"/>
                <w:sz w:val="20"/>
                <w:szCs w:val="20"/>
              </w:rPr>
              <w:t>82.39%</w:t>
            </w:r>
          </w:p>
        </w:tc>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4A1946" w14:textId="77777777" w:rsidR="00153F00" w:rsidRDefault="00B27802">
            <w:pPr>
              <w:jc w:val="center"/>
            </w:pPr>
            <w:r>
              <w:rPr>
                <w:color w:val="000000"/>
                <w:sz w:val="20"/>
                <w:szCs w:val="20"/>
              </w:rPr>
              <w:t>57.95%</w:t>
            </w:r>
          </w:p>
        </w:tc>
      </w:tr>
      <w:tr w:rsidR="00153F00" w14:paraId="24245A2F" w14:textId="77777777">
        <w:tc>
          <w:tcPr>
            <w:tcW w:w="38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9CB389" w14:textId="77777777" w:rsidR="00153F00" w:rsidRDefault="00B27802">
            <w:r>
              <w:rPr>
                <w:color w:val="000000"/>
                <w:sz w:val="20"/>
                <w:szCs w:val="20"/>
              </w:rPr>
              <w:t>Investments to Assets</w:t>
            </w:r>
          </w:p>
        </w:tc>
        <w:tc>
          <w:tcPr>
            <w:tcW w:w="27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6A08381" w14:textId="77777777" w:rsidR="00153F00" w:rsidRDefault="00B27802">
            <w:pPr>
              <w:jc w:val="center"/>
            </w:pPr>
            <w:r>
              <w:rPr>
                <w:b/>
                <w:bCs/>
                <w:color w:val="375623"/>
                <w:sz w:val="20"/>
                <w:szCs w:val="20"/>
              </w:rPr>
              <w:t>34.82%</w:t>
            </w:r>
          </w:p>
        </w:tc>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E1EBEB" w14:textId="77777777" w:rsidR="00153F00" w:rsidRDefault="00B27802">
            <w:pPr>
              <w:jc w:val="center"/>
            </w:pPr>
            <w:r>
              <w:rPr>
                <w:color w:val="000000"/>
                <w:sz w:val="20"/>
                <w:szCs w:val="20"/>
              </w:rPr>
              <w:t>19.20%</w:t>
            </w:r>
          </w:p>
        </w:tc>
      </w:tr>
    </w:tbl>
    <w:p w14:paraId="21A47F50" w14:textId="77777777" w:rsidR="00153F00" w:rsidRDefault="00153F00">
      <w:pPr>
        <w:spacing w:after="120"/>
      </w:pPr>
    </w:p>
    <w:p w14:paraId="3EB4E96B" w14:textId="77777777" w:rsidR="00153F00" w:rsidRDefault="00B27802">
      <w:pPr>
        <w:spacing w:after="100"/>
      </w:pPr>
      <w:r>
        <w:t>The NIM gap (2.83% vs. 4.14% peer average) is the single largest driver of underperformance in ROA and ROE relative to peers. This gap reflects the legacy investment portfolio accumulated during the 2021-2022 low-rate environment when the Bank deployed excess deposits into long-duration securities now below market value. The gap is expected to narrow materially as the portfolio reprices over the next 12-24 months. KSB's investments-to-assets ratio of 34.82% is well above the peer average of 19.20%, confirming the portfolio's outsized influence on performance.</w:t>
      </w:r>
    </w:p>
    <w:p w14:paraId="3D6B810B" w14:textId="77777777" w:rsidR="00153F00" w:rsidRDefault="00153F00">
      <w:pPr>
        <w:spacing w:after="200"/>
      </w:pPr>
    </w:p>
    <w:p w14:paraId="60424E4C" w14:textId="77777777" w:rsidR="00153F00" w:rsidRDefault="00B27802">
      <w:pPr>
        <w:pStyle w:val="Heading1"/>
      </w:pPr>
      <w:r>
        <w:t>IX.  Economic Environment</w:t>
      </w:r>
    </w:p>
    <w:p w14:paraId="6AC2A880" w14:textId="77777777" w:rsidR="00153F00" w:rsidRDefault="00B27802">
      <w:pPr>
        <w:spacing w:after="100"/>
      </w:pPr>
      <w:r>
        <w:t>The Hilltop Securities economic update provides the following context for the Board:</w:t>
      </w:r>
    </w:p>
    <w:p w14:paraId="48C7301C" w14:textId="77777777" w:rsidR="00153F00" w:rsidRDefault="00153F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153F00" w14:paraId="7B305B2D"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1C8D7472" w14:textId="77777777" w:rsidR="00153F00" w:rsidRDefault="00B27802">
            <w:r>
              <w:rPr>
                <w:b/>
                <w:bCs/>
                <w:color w:val="FFFFFF"/>
                <w:sz w:val="20"/>
                <w:szCs w:val="20"/>
              </w:rPr>
              <w:t>Indicator</w:t>
            </w:r>
          </w:p>
        </w:tc>
        <w:tc>
          <w:tcPr>
            <w:tcW w:w="240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79B8FDD2" w14:textId="77777777" w:rsidR="00153F00" w:rsidRDefault="00B27802">
            <w:r>
              <w:rPr>
                <w:b/>
                <w:bCs/>
                <w:color w:val="FFFFFF"/>
                <w:sz w:val="20"/>
                <w:szCs w:val="20"/>
              </w:rPr>
              <w:t>Reading</w:t>
            </w:r>
          </w:p>
        </w:tc>
        <w:tc>
          <w:tcPr>
            <w:tcW w:w="4560" w:type="dxa"/>
            <w:tcBorders>
              <w:top w:val="single" w:sz="4" w:space="0" w:color="CCCCCC"/>
              <w:left w:val="single" w:sz="4" w:space="0" w:color="CCCCCC"/>
              <w:bottom w:val="single" w:sz="4" w:space="0" w:color="CCCCCC"/>
              <w:right w:val="single" w:sz="4" w:space="0" w:color="CCCCCC"/>
            </w:tcBorders>
            <w:shd w:val="clear" w:color="auto" w:fill="061828"/>
            <w:tcMar>
              <w:top w:w="80" w:type="dxa"/>
              <w:left w:w="120" w:type="dxa"/>
              <w:bottom w:w="80" w:type="dxa"/>
              <w:right w:w="120" w:type="dxa"/>
            </w:tcMar>
          </w:tcPr>
          <w:p w14:paraId="48EE5B46" w14:textId="77777777" w:rsidR="00153F00" w:rsidRDefault="00B27802">
            <w:r>
              <w:rPr>
                <w:b/>
                <w:bCs/>
                <w:color w:val="FFFFFF"/>
                <w:sz w:val="20"/>
                <w:szCs w:val="20"/>
              </w:rPr>
              <w:t>Implication for KSB</w:t>
            </w:r>
          </w:p>
        </w:tc>
      </w:tr>
      <w:tr w:rsidR="00153F00" w14:paraId="16ADE134"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26C9E2" w14:textId="77777777" w:rsidR="00153F00" w:rsidRDefault="00B27802">
            <w:r>
              <w:rPr>
                <w:color w:val="000000"/>
                <w:sz w:val="20"/>
                <w:szCs w:val="20"/>
              </w:rPr>
              <w:t>Fed Funds Rate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1B9262" w14:textId="77777777" w:rsidR="00153F00" w:rsidRDefault="00B27802">
            <w:r>
              <w:rPr>
                <w:color w:val="000000"/>
                <w:sz w:val="20"/>
                <w:szCs w:val="20"/>
              </w:rPr>
              <w:t>3.75% — On Hold</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CB84AE" w14:textId="77777777" w:rsidR="00153F00" w:rsidRDefault="00B27802">
            <w:r>
              <w:rPr>
                <w:color w:val="000000"/>
                <w:sz w:val="20"/>
                <w:szCs w:val="20"/>
              </w:rPr>
              <w:t>Funding costs remain elevated; rate cuts expected mid-2026 would benefit KSB's liability-sensitive position</w:t>
            </w:r>
          </w:p>
        </w:tc>
      </w:tr>
      <w:tr w:rsidR="00153F00" w14:paraId="0736F40E"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A54123" w14:textId="77777777" w:rsidR="00153F00" w:rsidRDefault="00B27802">
            <w:r>
              <w:rPr>
                <w:color w:val="000000"/>
                <w:sz w:val="20"/>
                <w:szCs w:val="20"/>
              </w:rPr>
              <w:t>Inflation (PPI Feb)</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C0ACDE" w14:textId="77777777" w:rsidR="00153F00" w:rsidRDefault="00B27802">
            <w:r>
              <w:rPr>
                <w:color w:val="000000"/>
                <w:sz w:val="20"/>
                <w:szCs w:val="20"/>
              </w:rPr>
              <w:t>+0.7% MoM — Hotter than expected</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B46943" w14:textId="77777777" w:rsidR="00153F00" w:rsidRDefault="00B27802">
            <w:r>
              <w:rPr>
                <w:color w:val="000000"/>
                <w:sz w:val="20"/>
                <w:szCs w:val="20"/>
              </w:rPr>
              <w:t>Delays rate cut timeline; keeps deposit repricing costs elevated; no near-term Fed cut expected</w:t>
            </w:r>
          </w:p>
        </w:tc>
      </w:tr>
      <w:tr w:rsidR="00153F00" w14:paraId="68871132"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3D5FDA" w14:textId="77777777" w:rsidR="00153F00" w:rsidRDefault="00B27802">
            <w:r>
              <w:rPr>
                <w:color w:val="000000"/>
                <w:sz w:val="20"/>
                <w:szCs w:val="20"/>
              </w:rPr>
              <w:t>Unemployment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9312D2" w14:textId="77777777" w:rsidR="00153F00" w:rsidRDefault="00B27802">
            <w:r>
              <w:rPr>
                <w:color w:val="000000"/>
                <w:sz w:val="20"/>
                <w:szCs w:val="20"/>
              </w:rPr>
              <w:t>4.26% — Softening</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460052" w14:textId="77777777" w:rsidR="00153F00" w:rsidRDefault="00B27802">
            <w:r>
              <w:rPr>
                <w:color w:val="000000"/>
                <w:sz w:val="20"/>
                <w:szCs w:val="20"/>
              </w:rPr>
              <w:t>Gradual labor market cooling; no immediate consumer credit quality concern but worth monitoring</w:t>
            </w:r>
          </w:p>
        </w:tc>
      </w:tr>
      <w:tr w:rsidR="00153F00" w14:paraId="540F3784"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AB88FA" w14:textId="77777777" w:rsidR="00153F00" w:rsidRDefault="00B27802">
            <w:r>
              <w:rPr>
                <w:color w:val="000000"/>
                <w:sz w:val="20"/>
                <w:szCs w:val="20"/>
              </w:rPr>
              <w:t>GDP Q4 2025</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B2A22E" w14:textId="77777777" w:rsidR="00153F00" w:rsidRDefault="00B27802">
            <w:r>
              <w:rPr>
                <w:color w:val="000000"/>
                <w:sz w:val="20"/>
                <w:szCs w:val="20"/>
              </w:rPr>
              <w:t>1.4% — Slowing</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04A3DE" w14:textId="77777777" w:rsidR="00153F00" w:rsidRDefault="00B27802">
            <w:r>
              <w:rPr>
                <w:color w:val="000000"/>
                <w:sz w:val="20"/>
                <w:szCs w:val="20"/>
              </w:rPr>
              <w:t>Private sector spending remains solid; government drag is temporary; overall demand remains adequate</w:t>
            </w:r>
          </w:p>
        </w:tc>
      </w:tr>
    </w:tbl>
    <w:p w14:paraId="66D1A1CF" w14:textId="77777777" w:rsidR="00153F00" w:rsidRDefault="00153F00">
      <w:pPr>
        <w:spacing w:after="200"/>
      </w:pPr>
    </w:p>
    <w:p w14:paraId="133980C2" w14:textId="77777777" w:rsidR="00153F00" w:rsidRDefault="00B27802">
      <w:pPr>
        <w:pStyle w:val="Heading1"/>
      </w:pPr>
      <w:r>
        <w:t>X.  Board Action Items</w:t>
      </w:r>
    </w:p>
    <w:p w14:paraId="200D3DF0" w14:textId="77777777" w:rsidR="00153F00" w:rsidRDefault="00B27802">
      <w:pPr>
        <w:spacing w:after="100"/>
      </w:pPr>
      <w:r>
        <w:t>The following items require formal Board response or direction:</w:t>
      </w:r>
    </w:p>
    <w:p w14:paraId="370DE127" w14:textId="77777777" w:rsidR="00153F00" w:rsidRDefault="00153F00">
      <w:pPr>
        <w:spacing w:after="100"/>
      </w:pPr>
    </w:p>
    <w:p w14:paraId="2A835B27" w14:textId="77777777" w:rsidR="00153F00" w:rsidRDefault="00B27802">
      <w:pPr>
        <w:spacing w:after="80"/>
      </w:pPr>
      <w:r>
        <w:rPr>
          <w:b/>
          <w:bCs/>
          <w:color w:val="C00000"/>
        </w:rPr>
        <w:t>1.  Liquidity Policy — Resolution Required (HIGH)</w:t>
      </w:r>
    </w:p>
    <w:p w14:paraId="0C4CB3AC" w14:textId="77777777" w:rsidR="00153F00" w:rsidRDefault="00B27802">
      <w:pPr>
        <w:spacing w:after="100"/>
      </w:pPr>
      <w:r>
        <w:t>The liquidity ratio at 17.77% has been below the 20% policy threshold for 9 of the last 12 months. The Board must either: (a) direct management to present a formal remediation plan with a specific target date for returning to compliance, or (b) conduct a formal review of the liquidity policy and amend the threshold if it no longer reflects the Bank's actual risk tolerance. Either decision must be documented in the Board minutes. Status quo — recurring breach without resolution — is not an acceptable outcome from a governance perspective.</w:t>
      </w:r>
    </w:p>
    <w:p w14:paraId="7595926A" w14:textId="77777777" w:rsidR="00153F00" w:rsidRDefault="00153F00">
      <w:pPr>
        <w:spacing w:after="120"/>
      </w:pPr>
    </w:p>
    <w:p w14:paraId="061EF0E9" w14:textId="77777777" w:rsidR="00153F00" w:rsidRDefault="00B27802">
      <w:pPr>
        <w:spacing w:after="80"/>
      </w:pPr>
      <w:r>
        <w:rPr>
          <w:b/>
          <w:bCs/>
          <w:color w:val="7F5500"/>
        </w:rPr>
        <w:t>2.  Return on Assets — Monitoring Required (MEDIUM)</w:t>
      </w:r>
    </w:p>
    <w:p w14:paraId="6C0CCC9F" w14:textId="77777777" w:rsidR="00153F00" w:rsidRDefault="00B27802">
      <w:pPr>
        <w:spacing w:after="100"/>
      </w:pPr>
      <w:r>
        <w:t>ROA at 0.46% is below the 0.60% policy minimum. The 12-month NIM expansion to 4.19% should bring ROA into compliance without structural intervention. The Board should request management provide a specific timeline and projection for when ROA is expected to return above 0.60%, and confirm that the efficiency ratio is trending in the right direction.</w:t>
      </w:r>
    </w:p>
    <w:p w14:paraId="4212CF85" w14:textId="77777777" w:rsidR="00153F00" w:rsidRDefault="00153F00">
      <w:pPr>
        <w:spacing w:after="120"/>
      </w:pPr>
    </w:p>
    <w:p w14:paraId="66B0008C" w14:textId="77777777" w:rsidR="00153F00" w:rsidRDefault="00B27802">
      <w:pPr>
        <w:spacing w:after="80"/>
      </w:pPr>
      <w:r>
        <w:rPr>
          <w:b/>
          <w:bCs/>
          <w:color w:val="7F5500"/>
        </w:rPr>
        <w:t>3.  AFS Unrealized Loss Exposure — Awareness Required (MONITOR)</w:t>
      </w:r>
    </w:p>
    <w:p w14:paraId="0911F5E5" w14:textId="77777777" w:rsidR="00153F00" w:rsidRDefault="00B27802">
      <w:pPr>
        <w:spacing w:after="100"/>
      </w:pPr>
      <w:r>
        <w:t>Under a +300 basis point shock, the book value leverage ratio including AOCI would fall to 4.67% — a level that would draw regulatory scrutiny. The Board should confirm its understanding of and comfort with this exposure. Management should clarify: (a) the investment portfolio's duration strategy going forward, (b) whether the percentage of AFS securities is expected to change, and (c) the trajectory of the unrealized loss as assets reprice.</w:t>
      </w:r>
    </w:p>
    <w:p w14:paraId="11130F69" w14:textId="77777777" w:rsidR="00153F00" w:rsidRDefault="00153F00">
      <w:pPr>
        <w:spacing w:after="120"/>
      </w:pPr>
    </w:p>
    <w:p w14:paraId="2342F1FC" w14:textId="77777777" w:rsidR="00153F00" w:rsidRDefault="00B27802">
      <w:pPr>
        <w:spacing w:after="80"/>
      </w:pPr>
      <w:r>
        <w:rPr>
          <w:b/>
          <w:bCs/>
          <w:color w:val="061828"/>
        </w:rPr>
        <w:t>4.  Efficiency Ratio — Strategic Discussion (INFORMATIONAL)</w:t>
      </w:r>
    </w:p>
    <w:p w14:paraId="5A4A04EC" w14:textId="77777777" w:rsidR="00153F00" w:rsidRDefault="00B27802">
      <w:pPr>
        <w:spacing w:after="100"/>
      </w:pPr>
      <w:r>
        <w:t>The efficiency ratio of 82.39% versus a peer average of 57.95% represents a significant gap. The Board should discuss with management whether this reflects intentional investment in future growth (Grafton branch, technology, staffing), temporary excess capacity, or a structural issue that requires specific cost management action. As the balance sheet grows toward the new Grafton branch opening in January 2027, economies of scale should naturally improve this ratio — but the Board should set a target and timeline.</w:t>
      </w:r>
    </w:p>
    <w:p w14:paraId="64ABAA4C" w14:textId="77777777" w:rsidR="00153F00" w:rsidRDefault="00153F00">
      <w:pPr>
        <w:spacing w:after="300"/>
      </w:pPr>
    </w:p>
    <w:p w14:paraId="28B11A46" w14:textId="77777777" w:rsidR="00153F00" w:rsidRDefault="00153F00">
      <w:pPr>
        <w:pBdr>
          <w:bottom w:val="single" w:sz="8" w:space="1" w:color="B8912A"/>
        </w:pBdr>
        <w:spacing w:after="120"/>
      </w:pPr>
    </w:p>
    <w:p w14:paraId="2D49C227" w14:textId="77777777" w:rsidR="00153F00" w:rsidRDefault="00B27802">
      <w:pPr>
        <w:spacing w:before="120"/>
        <w:jc w:val="center"/>
      </w:pPr>
      <w:r>
        <w:rPr>
          <w:i/>
          <w:iCs/>
          <w:color w:val="888888"/>
          <w:sz w:val="18"/>
          <w:szCs w:val="18"/>
        </w:rPr>
        <w:t>This analysis was prepared for the Board of Directors of KeySavings Bank, Wisconsin Rapids, Wisconsin.</w:t>
      </w:r>
    </w:p>
    <w:p w14:paraId="01AA1A07" w14:textId="77777777" w:rsidR="00153F00" w:rsidRDefault="00B27802">
      <w:pPr>
        <w:jc w:val="center"/>
      </w:pPr>
      <w:r>
        <w:rPr>
          <w:i/>
          <w:iCs/>
          <w:color w:val="888888"/>
          <w:sz w:val="18"/>
          <w:szCs w:val="18"/>
        </w:rPr>
        <w:t>Source: Hilltop Securities ALCO Report — April 9, 2026  |  NMLS #484656  |  Member FDIC  |  Equal Housing Lender</w:t>
      </w:r>
    </w:p>
    <w:sectPr w:rsidR="00153F0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80F8C" w14:textId="77777777" w:rsidR="006E5EFB" w:rsidRDefault="006E5EFB">
      <w:r>
        <w:separator/>
      </w:r>
    </w:p>
  </w:endnote>
  <w:endnote w:type="continuationSeparator" w:id="0">
    <w:p w14:paraId="3193960A" w14:textId="77777777" w:rsidR="006E5EFB" w:rsidRDefault="006E5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02D88" w14:textId="77777777" w:rsidR="00153F00" w:rsidRDefault="00B27802">
    <w:pPr>
      <w:pBdr>
        <w:top w:val="single" w:sz="4" w:space="1" w:color="B8912A"/>
      </w:pBdr>
      <w:spacing w:before="60"/>
      <w:jc w:val="center"/>
    </w:pPr>
    <w:r>
      <w:rPr>
        <w:color w:val="666666"/>
        <w:sz w:val="18"/>
        <w:szCs w:val="18"/>
      </w:rPr>
      <w:t xml:space="preserve">Prepared for the Board of Directors  |  KeySavings Bank, Wisconsin Rapids, WI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253796">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E5338" w14:textId="77777777" w:rsidR="006E5EFB" w:rsidRDefault="006E5EFB">
      <w:r>
        <w:separator/>
      </w:r>
    </w:p>
  </w:footnote>
  <w:footnote w:type="continuationSeparator" w:id="0">
    <w:p w14:paraId="7125F551" w14:textId="77777777" w:rsidR="006E5EFB" w:rsidRDefault="006E5E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3681" w14:textId="77777777" w:rsidR="00153F00" w:rsidRDefault="00B27802">
    <w:pPr>
      <w:pBdr>
        <w:bottom w:val="single" w:sz="6" w:space="1" w:color="B8912A"/>
      </w:pBdr>
      <w:spacing w:after="80"/>
    </w:pPr>
    <w:r>
      <w:rPr>
        <w:color w:val="061828"/>
        <w:sz w:val="20"/>
        <w:szCs w:val="20"/>
      </w:rPr>
      <w:t>KeySavings Bank  |  ALCO Report Analysis — March 31, 2026</w:t>
    </w:r>
    <w:r>
      <w:rPr>
        <w:color w:val="999999"/>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62BF"/>
    <w:multiLevelType w:val="hybridMultilevel"/>
    <w:tmpl w:val="0F90888A"/>
    <w:lvl w:ilvl="0" w:tplc="A78E6330">
      <w:start w:val="1"/>
      <w:numFmt w:val="bullet"/>
      <w:lvlText w:val="•"/>
      <w:lvlJc w:val="left"/>
      <w:pPr>
        <w:ind w:left="720" w:hanging="360"/>
      </w:pPr>
    </w:lvl>
    <w:lvl w:ilvl="1" w:tplc="8F72A8BE">
      <w:numFmt w:val="decimal"/>
      <w:lvlText w:val=""/>
      <w:lvlJc w:val="left"/>
    </w:lvl>
    <w:lvl w:ilvl="2" w:tplc="F014F326">
      <w:numFmt w:val="decimal"/>
      <w:lvlText w:val=""/>
      <w:lvlJc w:val="left"/>
    </w:lvl>
    <w:lvl w:ilvl="3" w:tplc="C2002846">
      <w:numFmt w:val="decimal"/>
      <w:lvlText w:val=""/>
      <w:lvlJc w:val="left"/>
    </w:lvl>
    <w:lvl w:ilvl="4" w:tplc="57EA18EA">
      <w:numFmt w:val="decimal"/>
      <w:lvlText w:val=""/>
      <w:lvlJc w:val="left"/>
    </w:lvl>
    <w:lvl w:ilvl="5" w:tplc="22B4BF92">
      <w:numFmt w:val="decimal"/>
      <w:lvlText w:val=""/>
      <w:lvlJc w:val="left"/>
    </w:lvl>
    <w:lvl w:ilvl="6" w:tplc="D154449E">
      <w:numFmt w:val="decimal"/>
      <w:lvlText w:val=""/>
      <w:lvlJc w:val="left"/>
    </w:lvl>
    <w:lvl w:ilvl="7" w:tplc="BE1A74D8">
      <w:numFmt w:val="decimal"/>
      <w:lvlText w:val=""/>
      <w:lvlJc w:val="left"/>
    </w:lvl>
    <w:lvl w:ilvl="8" w:tplc="DCB6C72A">
      <w:numFmt w:val="decimal"/>
      <w:lvlText w:val=""/>
      <w:lvlJc w:val="left"/>
    </w:lvl>
  </w:abstractNum>
  <w:abstractNum w:abstractNumId="1" w15:restartNumberingAfterBreak="0">
    <w:nsid w:val="0BE62D08"/>
    <w:multiLevelType w:val="hybridMultilevel"/>
    <w:tmpl w:val="9A24D6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4A53765"/>
    <w:multiLevelType w:val="hybridMultilevel"/>
    <w:tmpl w:val="BE8200DE"/>
    <w:lvl w:ilvl="0" w:tplc="A0C65F20">
      <w:start w:val="1"/>
      <w:numFmt w:val="bullet"/>
      <w:lvlText w:val="●"/>
      <w:lvlJc w:val="left"/>
      <w:pPr>
        <w:ind w:left="720" w:hanging="360"/>
      </w:pPr>
    </w:lvl>
    <w:lvl w:ilvl="1" w:tplc="CF7AFF5A">
      <w:start w:val="1"/>
      <w:numFmt w:val="bullet"/>
      <w:lvlText w:val="○"/>
      <w:lvlJc w:val="left"/>
      <w:pPr>
        <w:ind w:left="1440" w:hanging="360"/>
      </w:pPr>
    </w:lvl>
    <w:lvl w:ilvl="2" w:tplc="A5507C10">
      <w:start w:val="1"/>
      <w:numFmt w:val="bullet"/>
      <w:lvlText w:val="■"/>
      <w:lvlJc w:val="left"/>
      <w:pPr>
        <w:ind w:left="2160" w:hanging="360"/>
      </w:pPr>
    </w:lvl>
    <w:lvl w:ilvl="3" w:tplc="DE085994">
      <w:start w:val="1"/>
      <w:numFmt w:val="bullet"/>
      <w:lvlText w:val="●"/>
      <w:lvlJc w:val="left"/>
      <w:pPr>
        <w:ind w:left="2880" w:hanging="360"/>
      </w:pPr>
    </w:lvl>
    <w:lvl w:ilvl="4" w:tplc="1FBA6604">
      <w:start w:val="1"/>
      <w:numFmt w:val="bullet"/>
      <w:lvlText w:val="○"/>
      <w:lvlJc w:val="left"/>
      <w:pPr>
        <w:ind w:left="3600" w:hanging="360"/>
      </w:pPr>
    </w:lvl>
    <w:lvl w:ilvl="5" w:tplc="1F66FC32">
      <w:start w:val="1"/>
      <w:numFmt w:val="bullet"/>
      <w:lvlText w:val="■"/>
      <w:lvlJc w:val="left"/>
      <w:pPr>
        <w:ind w:left="4320" w:hanging="360"/>
      </w:pPr>
    </w:lvl>
    <w:lvl w:ilvl="6" w:tplc="A942DBA6">
      <w:start w:val="1"/>
      <w:numFmt w:val="bullet"/>
      <w:lvlText w:val="●"/>
      <w:lvlJc w:val="left"/>
      <w:pPr>
        <w:ind w:left="5040" w:hanging="360"/>
      </w:pPr>
    </w:lvl>
    <w:lvl w:ilvl="7" w:tplc="0F3E39B4">
      <w:start w:val="1"/>
      <w:numFmt w:val="bullet"/>
      <w:lvlText w:val="●"/>
      <w:lvlJc w:val="left"/>
      <w:pPr>
        <w:ind w:left="5760" w:hanging="360"/>
      </w:pPr>
    </w:lvl>
    <w:lvl w:ilvl="8" w:tplc="12C8FD4C">
      <w:start w:val="1"/>
      <w:numFmt w:val="bullet"/>
      <w:lvlText w:val="●"/>
      <w:lvlJc w:val="left"/>
      <w:pPr>
        <w:ind w:left="6480" w:hanging="360"/>
      </w:pPr>
    </w:lvl>
  </w:abstractNum>
  <w:num w:numId="1" w16cid:durableId="816652576">
    <w:abstractNumId w:val="2"/>
    <w:lvlOverride w:ilvl="0">
      <w:startOverride w:val="1"/>
    </w:lvlOverride>
  </w:num>
  <w:num w:numId="2" w16cid:durableId="1643461944">
    <w:abstractNumId w:val="0"/>
    <w:lvlOverride w:ilvl="0">
      <w:startOverride w:val="1"/>
    </w:lvlOverride>
  </w:num>
  <w:num w:numId="3" w16cid:durableId="20994732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F00"/>
    <w:rsid w:val="00153F00"/>
    <w:rsid w:val="00253796"/>
    <w:rsid w:val="003366FE"/>
    <w:rsid w:val="00571B69"/>
    <w:rsid w:val="00605D09"/>
    <w:rsid w:val="00687F75"/>
    <w:rsid w:val="006E5EFB"/>
    <w:rsid w:val="00B27802"/>
    <w:rsid w:val="00F00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29654"/>
  <w15:docId w15:val="{20ED3173-A83F-4065-AAEF-7CA8E7F8F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061828"/>
      <w:sz w:val="28"/>
      <w:szCs w:val="28"/>
    </w:rPr>
  </w:style>
  <w:style w:type="paragraph" w:styleId="Heading2">
    <w:name w:val="heading 2"/>
    <w:uiPriority w:val="9"/>
    <w:unhideWhenUsed/>
    <w:qFormat/>
    <w:pPr>
      <w:spacing w:before="200" w:after="80"/>
      <w:outlineLvl w:val="1"/>
    </w:pPr>
    <w:rPr>
      <w:b/>
      <w:bCs/>
      <w:color w:val="06182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1778</Words>
  <Characters>10140</Characters>
  <Application>Microsoft Office Word</Application>
  <DocSecurity>4</DocSecurity>
  <Lines>84</Lines>
  <Paragraphs>23</Paragraphs>
  <ScaleCrop>false</ScaleCrop>
  <Company/>
  <LinksUpToDate>false</LinksUpToDate>
  <CharactersWithSpaces>11895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Taylor Pool</cp:lastModifiedBy>
  <cp:revision>2</cp:revision>
  <dcterms:created xsi:type="dcterms:W3CDTF">2026-05-12T03:31:00Z</dcterms:created>
  <dcterms:modified xsi:type="dcterms:W3CDTF">2026-05-12T03:31:00Z</dcterms:modified>
</cp:coreProperties>
</file>