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png" ContentType="image/png"/>
  <Override PartName="/word/media/rId87.png" ContentType="image/png"/>
  <Override PartName="/word/media/rId91.png" ContentType="image/png"/>
  <Override PartName="/word/media/rId96.png" ContentType="image/png"/>
  <Override PartName="/word/media/rId119.png" ContentType="image/png"/>
  <Override PartName="/word/media/rId122.png" ContentType="image/png"/>
  <Override PartName="/word/media/rId125.png" ContentType="image/png"/>
  <Override PartName="/word/media/rId129.png" ContentType="image/png"/>
  <Override PartName="/word/media/rId132.png" ContentType="image/png"/>
  <Override PartName="/word/media/rId37.png" ContentType="image/png"/>
  <Override PartName="/word/media/rId44.png" ContentType="image/png"/>
  <Override PartName="/word/media/rId64.png" ContentType="image/png"/>
  <Override PartName="/word/media/rId68.png" ContentType="image/png"/>
  <Override PartName="/word/media/rId71.png" ContentType="image/png"/>
  <Override PartName="/word/media/rId75.png" ContentType="image/png"/>
  <Override PartName="/word/media/rId79.png" ContentType="image/png"/>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Auditing the Human–LLM Autonomy Gap in Clinical Ethics: development and application of the Autonomy Index across 50 clinical-ethics vignettes</w:t>
      </w:r>
    </w:p>
    <w:p>
      <w:pPr>
        <w:pStyle w:val="BodyText"/>
      </w:pPr>
      <w:r>
        <w:t xml:space="preserve">Taposh Dutta Roy, MS, MBA, MBE</w:t>
      </w:r>
      <w:r>
        <w:rPr>
          <w:vertAlign w:val="superscript"/>
        </w:rPr>
        <w:t xml:space="preserve">1</w:t>
      </w:r>
      <w:r>
        <w:t xml:space="preserve">; Rebecca Weintraub Brendel, MD, JD</w:t>
      </w:r>
      <w:r>
        <w:rPr>
          <w:vertAlign w:val="superscript"/>
        </w:rPr>
        <w:t xml:space="preserve">1</w:t>
      </w:r>
    </w:p>
    <w:p>
      <w:pPr>
        <w:pStyle w:val="BodyText"/>
      </w:pPr>
      <w:r>
        <w:rPr>
          <w:vertAlign w:val="superscript"/>
        </w:rPr>
        <w:t xml:space="preserve">1</w:t>
      </w:r>
      <w:r>
        <w:t xml:space="preserve"> Center for Bioethics, Harvard Medical School, Boston, Massachusetts, USA</w:t>
      </w:r>
    </w:p>
    <w:p>
      <w:pPr>
        <w:pStyle w:val="BodyText"/>
      </w:pPr>
      <w:r>
        <w:rPr>
          <w:bCs/>
          <w:b/>
        </w:rPr>
        <w:t xml:space="preserve">Corresponding author:</w:t>
      </w:r>
      <w:r>
        <w:t xml:space="preserve"> Taposh Dutta Roy, Center for Bioethics, Harvard Medical School, 641 Huntington Avenue, Boston, MA 02115, USA. Email: taposh_duttaroy@hms.harvard.edu</w:t>
      </w:r>
    </w:p>
    <w:p>
      <w:pPr>
        <w:pStyle w:val="BodyText"/>
      </w:pPr>
      <w:r>
        <w:rPr>
          <w:bCs/>
          <w:b/>
        </w:rPr>
        <w:t xml:space="preserve">ORCID:</w:t>
      </w:r>
      <w:r>
        <w:t xml:space="preserve"> T. Dutta Roy https://orcid.org/0000-0002-8166-3636; R. W. Brendel https://orcid.org/0009-0005-9300-7029</w:t>
      </w:r>
    </w:p>
    <w:p>
      <w:pPr>
        <w:pStyle w:val="BodyText"/>
      </w:pPr>
      <w:r>
        <w:rPr>
          <w:bCs/>
          <w:b/>
        </w:rPr>
        <w:t xml:space="preserve">Running title:</w:t>
      </w:r>
      <w:r>
        <w:t xml:space="preserve"> The human–LLM autonomy gap in clinical ethics</w:t>
      </w:r>
    </w:p>
    <w:p>
      <w:pPr>
        <w:pStyle w:val="BodyText"/>
      </w:pPr>
      <w:r>
        <w:rPr>
          <w:bCs/>
          <w:b/>
        </w:rPr>
        <w:t xml:space="preserve">Keywords:</w:t>
      </w:r>
      <w:r>
        <w:t xml:space="preserve"> patient autonomy; decisional capacity; clinical ethics; large language models; artificial intelligence; measurement; inter-rater reliability</w:t>
      </w:r>
    </w:p>
    <w:p>
      <w:pPr>
        <w:pStyle w:val="BodyText"/>
      </w:pPr>
      <w:r>
        <w:rPr>
          <w:bCs/>
          <w:b/>
        </w:rPr>
        <w:t xml:space="preserve">Word count:</w:t>
      </w:r>
      <w:r>
        <w:t xml:space="preserve"> main text approximately 15,900; abstract 372; figures 11; tables 6; supplementary figures 5 [recount before submission]</w:t>
      </w:r>
    </w:p>
    <w:p>
      <w:pPr>
        <w:pStyle w:val="BodyText"/>
      </w:pPr>
      <w:r>
        <w:rPr>
          <w:bCs/>
          <w:b/>
        </w:rPr>
        <w:t xml:space="preserve">Preprint server:</w:t>
      </w:r>
      <w:r>
        <w:t xml:space="preserve"> medRxiv. </w:t>
      </w:r>
      <w:r>
        <w:rPr>
          <w:bCs/>
          <w:b/>
        </w:rPr>
        <w:t xml:space="preserve">Subject category:</w:t>
      </w:r>
      <w:r>
        <w:t xml:space="preserve"> Medical Ethics.</w:t>
      </w:r>
    </w:p>
    <w:p>
      <w:r>
        <w:pict>
          <v:rect style="width:0;height:1.5pt" o:hralign="center" o:hrstd="t" o:hr="t"/>
        </w:pict>
      </w:r>
    </w:p>
    <w:bookmarkStart w:id="20" w:name="abstract"/>
    <w:p>
      <w:pPr>
        <w:pStyle w:val="Heading1"/>
      </w:pPr>
      <w:r>
        <w:rPr>
          <w:bCs/>
          <w:b/>
        </w:rPr>
        <w:t xml:space="preserve">Abstract</w:t>
      </w:r>
    </w:p>
    <w:p>
      <w:pPr>
        <w:pStyle w:val="FirstParagraph"/>
      </w:pPr>
      <w:r>
        <w:rPr>
          <w:bCs/>
          <w:b/>
        </w:rPr>
        <w:t xml:space="preserve">Background.</w:t>
      </w:r>
      <w:r>
        <w:t xml:space="preserve"> Respect for autonomy is foundational to clinical ethics, yet it is rarely assessed in a structured way, and patients, families, and clinicians increasingly bring health questions to general-purpose language models whose dispositions toward patient agency are essentially unmeasured. We developed a structured measure of autonomy, the Autonomy Index, and used it to compare how trained human reviewers and current language models assess autonomy in clinical-ethics cases.</w:t>
      </w:r>
    </w:p>
    <w:p>
      <w:pPr>
        <w:pStyle w:val="BodyText"/>
      </w:pPr>
      <w:r>
        <w:rPr>
          <w:bCs/>
          <w:b/>
        </w:rPr>
        <w:t xml:space="preserve">Methods.</w:t>
      </w:r>
      <w:r>
        <w:t xml:space="preserve"> We reviewed eleven decisional-capacity instruments and classified them by target construct into consent capacity, decision capacity, and functional autonomy, identifying a region of autonomous agency (values, deliberation, and enactment) that existing instruments measure least well. The resulting thirteen-item instrument scores four domains — Values Awareness, Factual Understanding, Rational Deliberation, and Intentional Action — on a common five-point ordinal scale with an explicit not-applicable option, and reports two contextual modifiers, the External Constraint Index and Support Provided Index, alongside rather than within the composite. A corpus of 89 clinical vignettes drawn from published and public-domain material was scored by nine models in March 2026. Fifty vignettes were then selected by stratification on model score tier and inter-model disagreement and scored on the identical instrument by trained bioethics reviewers and by eight current-generation models in July 2026 (3,431 valid model scores). Human data were collected under Harvard Longwood Campus IRB protocol IRB26-0146.</w:t>
      </w:r>
    </w:p>
    <w:p>
      <w:pPr>
        <w:pStyle w:val="BodyText"/>
      </w:pPr>
      <w:r>
        <w:rPr>
          <w:bCs/>
          <w:b/>
        </w:rPr>
        <w:t xml:space="preserve">Results.</w:t>
      </w:r>
      <w:r>
        <w:t xml:space="preserve"> Human and model composites were strongly correlated across the 50 vignettes (Pearson r = 0.78, P = 2.3 × 10⁻¹¹; Spearman ρ = 0.78). The human mean was 50.2 and the model mean 39.2, a paired difference of 11.0 index points (95% CI 6.3 to 15.8; P = 2.6 × 10⁻⁵; d_z = 0.66); the mixed-model estimate accounting for vignette clustering was 11.3 points (P &lt; 0.001). Human ratings exceeded model ratings on 36 of 50 vignettes, and the 95% limits of agreement ran from − 21.9 to 43.9, so the difference is one of aggregate calibration rather than of any individual case. The difference was present in all four domains (Factual Understanding 13.7, Intentional Action 12.3, Values Awareness 10.4, Rational Deliberation 7.9) and for every model, with vignette-adjusted per-model gaps from 7.0 to 14.8 points. Model scores fell inside the range of trained human ratings on 74.1 percent of runs. By contrast, human and model External Constraint Index scores did not differ significantly (62.4 against 68.8; Holm-adjusted P = 0.49), locating the divergence in the autonomy construct rather than in the reading of the case. Vignette content accounted for 80.9 percent of score variance against 0.7 percent for rater type.</w:t>
      </w:r>
    </w:p>
    <w:p>
      <w:pPr>
        <w:pStyle w:val="BodyText"/>
      </w:pPr>
      <w:r>
        <w:rPr>
          <w:bCs/>
          <w:b/>
        </w:rPr>
        <w:t xml:space="preserve">Conclusions.</w:t>
      </w:r>
      <w:r>
        <w:t xml:space="preserve"> Current general-purpose language models attribute less autonomy to patients than trained human reviewers do, in every domain and for every model tested, while agreeing with reviewers about the circumstances surrounding the decision. The mean difference is moderate and the case-level variability is wide, and on roughly three quarters of vignettes a model score already falls inside the range of trained human judgment, so the effect is carried by the remaining quarter rather than by uniform under-attribution. The direction of error tends toward paternalism and argues for human oversight rather than model substitution in capacity-sensitive decisions.</w:t>
      </w:r>
    </w:p>
    <w:p>
      <w:r>
        <w:pict>
          <v:rect style="width:0;height:1.5pt" o:hralign="center" o:hrstd="t" o:hr="t"/>
        </w:pict>
      </w:r>
    </w:p>
    <w:bookmarkEnd w:id="20"/>
    <w:bookmarkStart w:id="28" w:name="introduction"/>
    <w:p>
      <w:pPr>
        <w:pStyle w:val="Heading1"/>
      </w:pPr>
      <w:r>
        <w:rPr>
          <w:bCs/>
          <w:b/>
        </w:rPr>
        <w:t xml:space="preserve">Introduction</w:t>
      </w:r>
    </w:p>
    <w:p>
      <w:pPr>
        <w:pStyle w:val="FirstParagraph"/>
      </w:pPr>
      <w:r>
        <w:t xml:space="preserve">Respect for autonomy [26] is a cornerstone of biomedical ethics, yet it is rarely measured in a structured way. Three gaps motivate this study: are general-purpose models ready for health-related questions, what is known about model outputs, and what is known about human ethical judgment itself.</w:t>
      </w:r>
    </w:p>
    <w:p>
      <w:pPr>
        <w:pStyle w:val="BodyText"/>
      </w:pPr>
      <w:r>
        <w:rPr>
          <w:bCs/>
          <w:b/>
        </w:rPr>
        <w:t xml:space="preserve">People are already using general-purpose models for health questions.</w:t>
      </w:r>
      <w:r>
        <w:t xml:space="preserve"> Debate about medical artificial intelligence has largely concerned purpose-built clinical systems evaluated under regulatory pathways. That is not where most of the exposure now sits. Patients, families, and clinicians increasingly bring health questions to general-purpose conversational models [27] that were not designed for clinical use, carry no clinical indication, and are not evaluated against clinical endpoints. Whatever ethical dispositions those systems carry are already reaching people in consequential moments. The eight models examined here are general-purpose systems for exactly this reason: they are the ones being used, not the ones designed to be used.</w:t>
      </w:r>
    </w:p>
    <w:p>
      <w:pPr>
        <w:pStyle w:val="BodyText"/>
      </w:pPr>
      <w:r>
        <w:rPr>
          <w:bCs/>
          <w:b/>
        </w:rPr>
        <w:t xml:space="preserve">Very little is known about what these models express regarding autonomy and respect for persons.</w:t>
      </w:r>
      <w:r>
        <w:t xml:space="preserve"> Evaluation of language models in medicine has concentrated on factual accuracy, examination performance, refusal behavior, and safety in the narrow sense of avoiding harmful instructions. Whether a model perceives a patient as an agent, and how much weight it gives to that agency, has almost no empirical literature. The values a model brings to a clinical situation are not a stated property of these systems; they are an emergent one, and they are currently unmeasured. This study asks what those dispositions are on a single, well-specified dimension.</w:t>
      </w:r>
    </w:p>
    <w:p>
      <w:pPr>
        <w:pStyle w:val="BodyText"/>
      </w:pPr>
      <w:r>
        <w:rPr>
          <w:bCs/>
          <w:b/>
        </w:rPr>
        <w:t xml:space="preserve">Nor is human judgment in clinical ethics well characterized.</w:t>
      </w:r>
      <w:r>
        <w:t xml:space="preserve"> It would be convenient to treat trained human reviewers as a fixed reference against which models are scored. That is not the state of the field. How clinicians and ethicists actually weigh values, facts, deliberation, and enacted agency when they assess a real case is itself sparsely documented, and normative frameworks such as the Appelbaum model specify what ought to be considered rather than describing what practitioners do. A structured instrument applied to human reviewers is therefore not only an instrument for auditing models but also a way of making human ethical judgment explicit enough to examine.</w:t>
      </w:r>
    </w:p>
    <w:p>
      <w:pPr>
        <w:pStyle w:val="BodyText"/>
      </w:pPr>
      <w:r>
        <w:t xml:space="preserve">To ground these questions in existing practice, we first reviewed the instruments currently used to assess decisional capacity in healthcare.</w:t>
      </w:r>
    </w:p>
    <w:bookmarkStart w:id="21" w:name="reviewed-instruments"/>
    <w:p>
      <w:pPr>
        <w:pStyle w:val="Heading2"/>
      </w:pPr>
      <w:r>
        <w:rPr>
          <w:bCs/>
          <w:b/>
        </w:rPr>
        <w:t xml:space="preserve">1.1 Reviewed Instruments</w:t>
      </w:r>
    </w:p>
    <w:p>
      <w:pPr>
        <w:pStyle w:val="FirstParagraph"/>
      </w:pPr>
      <w:r>
        <w:t xml:space="preserve">We reviewed the literature to develop a list of commonly used instruments in clinical decision capacity. Table 1 below showcases the key decision-making instruments used in the US. In the table, we provide the primary source, purpose of the framework, and country of origin.</w:t>
      </w:r>
    </w:p>
    <w:p>
      <w:pPr>
        <w:pStyle w:val="BodyText"/>
      </w:pPr>
      <w:r>
        <w:rPr>
          <w:bCs/>
          <w:b/>
        </w:rPr>
        <w:t xml:space="preserve">Table 1. Decisional capacity instruments reviewed.</w:t>
      </w:r>
    </w:p>
    <w:tbl>
      <w:tblPr>
        <w:tblStyle w:val="Table"/>
        <w:tblW w:type="pct" w:w="4889"/>
        <w:tblLook w:firstRow="1" w:lastRow="0" w:firstColumn="0" w:lastColumn="0" w:noHBand="0" w:noVBand="0" w:val="0020"/>
        <w:jc w:val="start"/>
      </w:tblPr>
      <w:tblGrid>
        <w:gridCol w:w="1672"/>
        <w:gridCol w:w="2023"/>
        <w:gridCol w:w="2904"/>
        <w:gridCol w:w="1144"/>
      </w:tblGrid>
      <w:tr>
        <w:trPr>
          <w:tblHeader w:val="true"/>
        </w:trPr>
        <w:tc>
          <w:tcPr/>
          <w:p>
            <w:pPr>
              <w:pStyle w:val="Compact"/>
              <w:jc w:val="left"/>
            </w:pPr>
            <w:r>
              <w:rPr>
                <w:bCs/>
                <w:b/>
              </w:rPr>
              <w:t xml:space="preserve">Instrument</w:t>
            </w:r>
          </w:p>
        </w:tc>
        <w:tc>
          <w:tcPr/>
          <w:p>
            <w:pPr>
              <w:pStyle w:val="Compact"/>
              <w:jc w:val="left"/>
            </w:pPr>
            <w:r>
              <w:rPr>
                <w:bCs/>
                <w:b/>
              </w:rPr>
              <w:t xml:space="preserve">Primary source</w:t>
            </w:r>
          </w:p>
        </w:tc>
        <w:tc>
          <w:tcPr/>
          <w:p>
            <w:pPr>
              <w:pStyle w:val="Compact"/>
              <w:jc w:val="left"/>
            </w:pPr>
            <w:r>
              <w:rPr>
                <w:bCs/>
                <w:b/>
              </w:rPr>
              <w:t xml:space="preserve">Purpose and scoring</w:t>
            </w:r>
          </w:p>
        </w:tc>
        <w:tc>
          <w:tcPr/>
          <w:p>
            <w:pPr>
              <w:pStyle w:val="Compact"/>
              <w:jc w:val="left"/>
            </w:pPr>
            <w:r>
              <w:rPr>
                <w:bCs/>
                <w:b/>
              </w:rPr>
              <w:t xml:space="preserve">Origin</w:t>
            </w:r>
          </w:p>
        </w:tc>
      </w:tr>
      <w:tr>
        <w:tc>
          <w:tcPr/>
          <w:p>
            <w:pPr>
              <w:pStyle w:val="Compact"/>
              <w:jc w:val="left"/>
            </w:pPr>
            <w:r>
              <w:t xml:space="preserve">MacCAT-T (Treatment)</w:t>
            </w:r>
          </w:p>
        </w:tc>
        <w:tc>
          <w:tcPr/>
          <w:p>
            <w:pPr>
              <w:pStyle w:val="Compact"/>
              <w:jc w:val="left"/>
            </w:pPr>
            <w:r>
              <w:t xml:space="preserve">Grisso, Appelbaum &amp; Hill-Fotouhi, Psychiatry Serv 1997 [1]; manual Grisso &amp; Appelbaum 2007 [2]</w:t>
            </w:r>
          </w:p>
        </w:tc>
        <w:tc>
          <w:tcPr/>
          <w:p>
            <w:pPr>
              <w:pStyle w:val="Compact"/>
              <w:jc w:val="left"/>
            </w:pPr>
            <w:r>
              <w:t xml:space="preserve">Reference clinical tool for treatment decisions. Four abilities: understanding, appreciation, reasoning, expressing a choice. Semi- structured, individualized disclosure.</w:t>
            </w:r>
          </w:p>
        </w:tc>
        <w:tc>
          <w:tcPr/>
          <w:p>
            <w:pPr>
              <w:pStyle w:val="Compact"/>
              <w:jc w:val="left"/>
            </w:pPr>
            <w:r>
              <w:t xml:space="preserve">USA</w:t>
            </w:r>
          </w:p>
        </w:tc>
      </w:tr>
      <w:tr>
        <w:tc>
          <w:tcPr/>
          <w:p>
            <w:pPr>
              <w:pStyle w:val="Compact"/>
              <w:jc w:val="left"/>
            </w:pPr>
            <w:r>
              <w:t xml:space="preserve">MacCAT-CR (Research)</w:t>
            </w:r>
          </w:p>
        </w:tc>
        <w:tc>
          <w:tcPr/>
          <w:p>
            <w:pPr>
              <w:pStyle w:val="Compact"/>
              <w:jc w:val="left"/>
            </w:pPr>
            <w:r>
              <w:t xml:space="preserve">Appelbaum &amp; Grisso 2001 manual [3]; | pediatric validation [4] Hein et al., JAMA Pediatrics 2014</w:t>
            </w:r>
          </w:p>
        </w:tc>
        <w:tc>
          <w:tcPr/>
          <w:p>
            <w:pPr>
              <w:pStyle w:val="Compact"/>
              <w:jc w:val="left"/>
            </w:pPr>
            <w:r>
              <w:t xml:space="preserve">Capacity to consent to clinical trials. Adds | research-specific elements: randomization, placebo, non- therapeutic purpose, right to withdraw.</w:t>
            </w:r>
          </w:p>
        </w:tc>
        <w:tc>
          <w:tcPr/>
          <w:p>
            <w:pPr>
              <w:pStyle w:val="Compact"/>
              <w:jc w:val="left"/>
            </w:pPr>
            <w:r>
              <w:t xml:space="preserve">USA |</w:t>
            </w:r>
          </w:p>
        </w:tc>
      </w:tr>
      <w:tr>
        <w:tc>
          <w:tcPr/>
          <w:p>
            <w:pPr>
              <w:pStyle w:val="Compact"/>
              <w:jc w:val="left"/>
            </w:pPr>
            <w:r>
              <w:t xml:space="preserve">ACE (Aid to Capacity Evaluation)</w:t>
            </w:r>
          </w:p>
        </w:tc>
        <w:tc>
          <w:tcPr/>
          <w:p>
            <w:pPr>
              <w:pStyle w:val="Compact"/>
              <w:jc w:val="left"/>
            </w:pPr>
            <w:r>
              <w:t xml:space="preserve">Etchells et al., CMAJ 1996 [5]</w:t>
            </w:r>
          </w:p>
        </w:tc>
        <w:tc>
          <w:tcPr/>
          <w:p>
            <w:pPr>
              <w:pStyle w:val="Compact"/>
              <w:jc w:val="left"/>
            </w:pPr>
            <w:r>
              <w:t xml:space="preserve">Rapid bedside assessment. Eight-item structured interview. Open access; strong in acute care.</w:t>
            </w:r>
          </w:p>
        </w:tc>
        <w:tc>
          <w:tcPr/>
          <w:p>
            <w:pPr>
              <w:pStyle w:val="Compact"/>
              <w:jc w:val="left"/>
            </w:pPr>
            <w:r>
              <w:t xml:space="preserve">Canada |</w:t>
            </w:r>
          </w:p>
        </w:tc>
      </w:tr>
      <w:tr>
        <w:tc>
          <w:tcPr/>
          <w:p>
            <w:pPr>
              <w:pStyle w:val="Compact"/>
              <w:jc w:val="left"/>
            </w:pPr>
            <w:r>
              <w:t xml:space="preserve">UBACC (Brief Assessment)</w:t>
            </w:r>
          </w:p>
        </w:tc>
        <w:tc>
          <w:tcPr/>
          <w:p>
            <w:pPr>
              <w:pStyle w:val="Compact"/>
              <w:jc w:val="left"/>
            </w:pPr>
            <w:r>
              <w:t xml:space="preserve">Jeste et al., Arch Gen Psychiatry 2007 [6]</w:t>
            </w:r>
          </w:p>
        </w:tc>
        <w:tc>
          <w:tcPr/>
          <w:p>
            <w:pPr>
              <w:pStyle w:val="Compact"/>
              <w:jc w:val="left"/>
            </w:pPr>
            <w:r>
              <w:t xml:space="preserve">Ten-item screen for research consent capacity. Triage instrument, faster than MacCAT-CR.</w:t>
            </w:r>
          </w:p>
        </w:tc>
        <w:tc>
          <w:tcPr/>
          <w:p>
            <w:pPr>
              <w:pStyle w:val="Compact"/>
              <w:jc w:val="left"/>
            </w:pPr>
            <w:r>
              <w:t xml:space="preserve">USA</w:t>
            </w:r>
          </w:p>
        </w:tc>
      </w:tr>
      <w:tr>
        <w:tc>
          <w:tcPr/>
          <w:p>
            <w:pPr>
              <w:pStyle w:val="Compact"/>
              <w:jc w:val="left"/>
            </w:pPr>
            <w:r>
              <w:t xml:space="preserve">CAI-Health</w:t>
            </w:r>
          </w:p>
        </w:tc>
        <w:tc>
          <w:tcPr/>
          <w:p>
            <w:pPr>
              <w:pStyle w:val="Compact"/>
              <w:jc w:val="left"/>
            </w:pPr>
            <w:r>
              <w:t xml:space="preserve">Amaral et al., Clin Gerontol 2025 [7]</w:t>
            </w:r>
          </w:p>
        </w:tc>
        <w:tc>
          <w:tcPr/>
          <w:p>
            <w:pPr>
              <w:pStyle w:val="Compact"/>
              <w:jc w:val="left"/>
            </w:pPr>
            <w:r>
              <w:t xml:space="preserve">Vignette-based instrument for adults with dementia. Tests values and preferences alongside capacity.</w:t>
            </w:r>
          </w:p>
        </w:tc>
        <w:tc>
          <w:tcPr/>
          <w:p>
            <w:pPr>
              <w:pStyle w:val="Compact"/>
              <w:jc w:val="left"/>
            </w:pPr>
            <w:r>
              <w:t xml:space="preserve">Portugal |</w:t>
            </w:r>
          </w:p>
        </w:tc>
      </w:tr>
      <w:tr>
        <w:tc>
          <w:tcPr/>
          <w:p>
            <w:pPr>
              <w:pStyle w:val="Compact"/>
              <w:jc w:val="left"/>
            </w:pPr>
            <w:r>
              <w:t xml:space="preserve">CCTI (Consent Instrument)</w:t>
            </w:r>
          </w:p>
        </w:tc>
        <w:tc>
          <w:tcPr/>
          <w:p>
            <w:pPr>
              <w:pStyle w:val="Compact"/>
              <w:jc w:val="left"/>
            </w:pPr>
            <w:r>
              <w:t xml:space="preserve">Marson, Ingram, Cody &amp; Harrell, Arch Neurol 1995;52:949– 954 [8]</w:t>
            </w:r>
          </w:p>
        </w:tc>
        <w:tc>
          <w:tcPr/>
          <w:p>
            <w:pPr>
              <w:pStyle w:val="Compact"/>
              <w:jc w:val="left"/>
            </w:pPr>
            <w:r>
              <w:t xml:space="preserve">Vignette-based measurement of competence under multiple legal standards. Psychometric; compares performance against capable controls.</w:t>
            </w:r>
          </w:p>
        </w:tc>
        <w:tc>
          <w:tcPr/>
          <w:p>
            <w:pPr>
              <w:pStyle w:val="Compact"/>
              <w:jc w:val="left"/>
            </w:pPr>
            <w:r>
              <w:t xml:space="preserve">USA</w:t>
            </w:r>
          </w:p>
        </w:tc>
      </w:tr>
      <w:tr>
        <w:tc>
          <w:tcPr/>
          <w:p>
            <w:pPr>
              <w:pStyle w:val="Compact"/>
              <w:jc w:val="left"/>
            </w:pPr>
            <w:r>
              <w:t xml:space="preserve">ACED (Everyday Decisions)</w:t>
            </w:r>
          </w:p>
        </w:tc>
        <w:tc>
          <w:tcPr/>
          <w:p>
            <w:pPr>
              <w:pStyle w:val="Compact"/>
              <w:jc w:val="left"/>
            </w:pPr>
            <w:r>
              <w:t xml:space="preserve">Lai &amp; Karlawish, Am J Geriatr Psychiatry 2007 (development) [9]; Lai et al. 2008 (reliability and validity) [10]</w:t>
            </w:r>
          </w:p>
        </w:tc>
        <w:tc>
          <w:tcPr/>
          <w:p>
            <w:pPr>
              <w:pStyle w:val="Compact"/>
              <w:jc w:val="left"/>
            </w:pPr>
            <w:r>
              <w:t xml:space="preserve">Semi-structured interview assessing decision-making about real instrumental activities of daily living rather than hypothetical scenarios.</w:t>
            </w:r>
          </w:p>
        </w:tc>
        <w:tc>
          <w:tcPr/>
          <w:p>
            <w:pPr>
              <w:pStyle w:val="Compact"/>
              <w:jc w:val="left"/>
            </w:pPr>
            <w:r>
              <w:t xml:space="preserve">USA</w:t>
            </w:r>
          </w:p>
        </w:tc>
      </w:tr>
      <w:tr>
        <w:tc>
          <w:tcPr/>
          <w:p>
            <w:pPr>
              <w:pStyle w:val="Compact"/>
              <w:jc w:val="left"/>
            </w:pPr>
            <w:r>
              <w:t xml:space="preserve">HCAI (Hopemont Interview)</w:t>
            </w:r>
          </w:p>
        </w:tc>
        <w:tc>
          <w:tcPr/>
          <w:p>
            <w:pPr>
              <w:pStyle w:val="Compact"/>
              <w:jc w:val="left"/>
            </w:pPr>
            <w:r>
              <w:t xml:space="preserve">Edelstein 2000 [11]</w:t>
            </w:r>
          </w:p>
        </w:tc>
        <w:tc>
          <w:tcPr/>
          <w:p>
            <w:pPr>
              <w:pStyle w:val="Compact"/>
              <w:jc w:val="left"/>
            </w:pPr>
            <w:r>
              <w:t xml:space="preserve">Designed for geriatric and long-term care residents. Complexity-adjusted scoring for chronic care decisions.</w:t>
            </w:r>
          </w:p>
        </w:tc>
        <w:tc>
          <w:tcPr/>
          <w:p>
            <w:pPr>
              <w:pStyle w:val="Compact"/>
              <w:jc w:val="left"/>
            </w:pPr>
            <w:r>
              <w:t xml:space="preserve">USA</w:t>
            </w:r>
          </w:p>
        </w:tc>
      </w:tr>
      <w:tr>
        <w:tc>
          <w:tcPr/>
          <w:p>
            <w:pPr>
              <w:pStyle w:val="Compact"/>
              <w:jc w:val="left"/>
            </w:pPr>
            <w:r>
              <w:t xml:space="preserve">CPS (Control Preferences Scale)</w:t>
            </w:r>
          </w:p>
        </w:tc>
        <w:tc>
          <w:tcPr/>
          <w:p>
            <w:pPr>
              <w:pStyle w:val="Compact"/>
              <w:jc w:val="left"/>
            </w:pPr>
            <w:r>
              <w:t xml:space="preserve">Degner, Sloan &amp; Venkatesh, Can J Nurs Res 1997;29(3):21–43 [12]</w:t>
            </w:r>
          </w:p>
        </w:tc>
        <w:tc>
          <w:tcPr/>
          <w:p>
            <w:pPr>
              <w:pStyle w:val="Compact"/>
              <w:jc w:val="left"/>
            </w:pPr>
            <w:r>
              <w:t xml:space="preserve">Card-sorting task measuring the patient’s desired level of involvement in decisions. Measures preference for autonomy, not capacity for it.</w:t>
            </w:r>
          </w:p>
        </w:tc>
        <w:tc>
          <w:tcPr/>
          <w:p>
            <w:pPr>
              <w:pStyle w:val="Compact"/>
              <w:jc w:val="left"/>
            </w:pPr>
            <w:r>
              <w:t xml:space="preserve">Canada |</w:t>
            </w:r>
          </w:p>
        </w:tc>
      </w:tr>
      <w:tr>
        <w:tc>
          <w:tcPr/>
          <w:p>
            <w:pPr>
              <w:pStyle w:val="Compact"/>
              <w:jc w:val="left"/>
            </w:pPr>
            <w:r>
              <w:t xml:space="preserve">CONCORD Scale</w:t>
            </w:r>
          </w:p>
        </w:tc>
        <w:tc>
          <w:tcPr/>
          <w:p>
            <w:pPr>
              <w:pStyle w:val="Compact"/>
              <w:jc w:val="left"/>
            </w:pPr>
            <w:r>
              <w:t xml:space="preserve">Shepherd et al., Trials 2022;23:843 [13]</w:t>
            </w:r>
          </w:p>
        </w:tc>
        <w:tc>
          <w:tcPr/>
          <w:p>
            <w:pPr>
              <w:pStyle w:val="Compact"/>
              <w:jc w:val="left"/>
            </w:pPr>
            <w:r>
              <w:t xml:space="preserve">Quality of proxy decisions about research participation. Measures proxy understanding of the trial and faithfulness of the decision to the patient’s wishes.</w:t>
            </w:r>
          </w:p>
        </w:tc>
        <w:tc>
          <w:tcPr/>
          <w:p>
            <w:pPr>
              <w:pStyle w:val="Compact"/>
              <w:jc w:val="left"/>
            </w:pPr>
            <w:r>
              <w:t xml:space="preserve">UK</w:t>
            </w:r>
          </w:p>
        </w:tc>
      </w:tr>
    </w:tbl>
    <w:p>
      <w:pPr>
        <w:pStyle w:val="BodyText"/>
      </w:pPr>
      <w:r>
        <w:t xml:space="preserve">We additionally consulted a 2025 systematic review of decisional capacity instruments applied to requests for assisted suicide [14]. That review is a synthesis of existing frameworks rather than an instrument in its own right and is therefore cited as a source rather than listed in Table 1.</w:t>
      </w:r>
    </w:p>
    <w:bookmarkEnd w:id="21"/>
    <w:bookmarkStart w:id="25" w:name="three-target-constructs"/>
    <w:p>
      <w:pPr>
        <w:pStyle w:val="Heading2"/>
      </w:pPr>
      <w:r>
        <w:rPr>
          <w:bCs/>
          <w:b/>
        </w:rPr>
        <w:t xml:space="preserve">1.2 Three target constructs</w:t>
      </w:r>
    </w:p>
    <w:p>
      <w:pPr>
        <w:pStyle w:val="FirstParagraph"/>
      </w:pPr>
      <w:r>
        <w:t xml:space="preserve">We classified these instruments into three groups: consent capacity, decision capacity, and functional autonomy. Instruments were assigned by target construct, defined as the question the instrument was built to answer, rather than by the population in which they were validated or the setting in which they are administered. The three constructs are defined below, and Figure 1 shows the resulting Autonomy Assessment tool, including instruments that span more than one group. The distinction is not merely terminological. It determines which components of autonomous agency each instrument was designed to capture, and therefore which components remain unmeasured across the existing instrument set.</w:t>
      </w:r>
    </w:p>
    <w:p>
      <w:pPr>
        <w:pStyle w:val="BodyText"/>
      </w:pPr>
      <w:r>
        <w:rPr>
          <w:bCs/>
          <w:b/>
        </w:rPr>
        <w:t xml:space="preserve">Decision capacity</w:t>
      </w:r>
      <w:r>
        <w:t xml:space="preserve"> (or decision-making capacity) is the possession of the functional abilities required for a given decision to stand. Statutory formulations are typically narrow: Ontario’s Health Care Consent Act [29], for example, defines capacity in two prongs, </w:t>
      </w:r>
      <w:r>
        <w:rPr>
          <w:iCs/>
          <w:i/>
        </w:rPr>
        <w:t xml:space="preserve">as the ability to understand information relevant to a decision and to appreciate the reasonably foreseeable consequences of a decision or a lack of a decision</w:t>
      </w:r>
      <w:r>
        <w:t xml:space="preserve">. Clinically, the construct is broader and is operationalized through the four abilities established by Appelbaum and Grisso: understanding the relevant information, appreciating the nature of the situation and its significance for one’s own circumstances, reasoning about the potential risks and benefits of the options, and clearly expressing a choice. We adopt the Appelbaum clinical construct throughout, as it subsumes the statutory prongs and supports item-level coding.</w:t>
      </w:r>
    </w:p>
    <w:p>
      <w:pPr>
        <w:pStyle w:val="BodyText"/>
      </w:pPr>
      <w:r>
        <w:t xml:space="preserve">Three properties are definitional. Decision capacity is decision-specific: a patient may be capable of making a choice about their residence but incapable of making a complex medical choice. It is time-varying, fluctuating with delirium, symptom severity, medication, and fatigue. And its threshold is risk-calibrated, rising with the stakes of the decision under the sliding-scale convention, although that convention remains contested. Its legal counterpart, competence, is adjudicated rather than clinically assessed. The reference instrument is the MacCAT-T [1].</w:t>
      </w:r>
    </w:p>
    <w:p>
      <w:pPr>
        <w:pStyle w:val="BodyText"/>
      </w:pPr>
      <w:r>
        <w:rPr>
          <w:bCs/>
          <w:b/>
        </w:rPr>
        <w:t xml:space="preserve">Consent capacity</w:t>
      </w:r>
      <w:r>
        <w:t xml:space="preserve"> is decision-making capacity narrowed to a specific authorizing act: consent to a proposed treatment, or to participation in research. Its distinguishing feature is that it is disclosure-relative. What the individual must understand is not fixed in advance but is determined by what the clinician or investigator is obligated to disclose, which is why the MacCAT-T requires an individualized disclosure to be constructed before scoring can begin. Research consent capacity is therefore not treatment consent capacity applied to a trial. It adds elements with no treatment analogue, including randomization, placebo, non-therapeutic purpose, and the right to withdraw. This is why the MacCAT-CR exists as a separate instrument rather than as a variant of the MacCAT-T, and why the therapeutic misconception constitutes a failure of consent capacity specifically rather than of decision capacity generally. Functionally, consent capacity is binary in consequence: the authorization either stands or it does not. Screening instruments such as the UBACC were developed to triage this determination efficiently.</w:t>
      </w:r>
    </w:p>
    <w:p>
      <w:pPr>
        <w:pStyle w:val="BodyText"/>
      </w:pPr>
      <w:r>
        <w:rPr>
          <w:bCs/>
          <w:b/>
        </w:rPr>
        <w:t xml:space="preserve">Functional autonomy</w:t>
      </w:r>
      <w:r>
        <w:t xml:space="preserve">, as used in this study, refers to the graded degree to which an individual forms and holds values, deliberates about them, and carries the resulting decisions into action under real conditions. Three properties distinguish it from the two capacity constructs. It is graded rather than threshold-based; it is longitudinal rather than episodic; and, critically, it is not wholly a property of the individual. Beauchamp and Childress’s [30] third condition for autonomous action, the absence of controlling influence, is a condition of the environment rather than of the person, and relational accounts extend this to the social and structural conditions under which agency is exercised. A person may therefore hold full decision capacity and low functional autonomy where transportation, interpretation, finances, or family pressure prevent enactment; conversely, a person with impaired capacity may retain substantial functional autonomy under supported decision-making arrangements. Instruments in this tradition, notably the ACED, assess decision-making through real instrumental activities of daily living rather than through hypothetical scenarios.</w:t>
      </w:r>
    </w:p>
    <w:p>
      <w:pPr>
        <w:pStyle w:val="BodyText"/>
      </w:pPr>
      <w:r>
        <w:t xml:space="preserve">We flag one terminological hazard. Functional autonomy carries a second, established meaning in geriatrics and rehabilitation, where it denotes ADL/IADL independence as measured by instruments such as the Functional Autonomy Measurement System (SMAF). That sense is a measure of functional status rather than of self-governance and is not the sense used here. Where the distinction is material, we use enacted autonomy to refer to the construct defined above.</w:t>
      </w:r>
    </w:p>
    <w:p>
      <w:pPr>
        <w:pStyle w:val="BodyText"/>
      </w:pPr>
      <w:r>
        <w:drawing>
          <wp:inline>
            <wp:extent cx="5848350" cy="3362325"/>
            <wp:effectExtent b="0" l="0" r="0" t="0"/>
            <wp:docPr descr="" title="" id="23" name="Picture"/>
            <a:graphic>
              <a:graphicData uri="http://schemas.openxmlformats.org/drawingml/2006/picture">
                <pic:pic>
                  <pic:nvPicPr>
                    <pic:cNvPr descr="./media/media/image1.png" id="24" name="Picture"/>
                    <pic:cNvPicPr>
                      <a:picLocks noChangeArrowheads="1" noChangeAspect="1"/>
                    </pic:cNvPicPr>
                  </pic:nvPicPr>
                  <pic:blipFill>
                    <a:blip r:embed="rId22"/>
                    <a:stretch>
                      <a:fillRect/>
                    </a:stretch>
                  </pic:blipFill>
                  <pic:spPr bwMode="auto">
                    <a:xfrm>
                      <a:off x="0" y="0"/>
                      <a:ext cx="5848350" cy="3362325"/>
                    </a:xfrm>
                    <a:prstGeom prst="rect">
                      <a:avLst/>
                    </a:prstGeom>
                    <a:noFill/>
                    <a:ln w="9525">
                      <a:noFill/>
                      <a:headEnd/>
                      <a:tailEnd/>
                    </a:ln>
                  </pic:spPr>
                </pic:pic>
              </a:graphicData>
            </a:graphic>
          </wp:inline>
        </w:drawing>
      </w:r>
    </w:p>
    <w:p>
      <w:pPr>
        <w:pStyle w:val="BodyText"/>
      </w:pPr>
      <w:r>
        <w:t xml:space="preserve">Figure 1. Autonomy assessment tools classified by target construct. Full instrument names, scope, and primary sources are given in Table 1.</w:t>
      </w:r>
    </w:p>
    <w:bookmarkEnd w:id="25"/>
    <w:bookmarkStart w:id="26" w:name="coverage-gap-and-rationale"/>
    <w:p>
      <w:pPr>
        <w:pStyle w:val="Heading2"/>
      </w:pPr>
      <w:r>
        <w:rPr>
          <w:bCs/>
          <w:b/>
        </w:rPr>
        <w:t xml:space="preserve">1.3 Coverage gap and rationale</w:t>
      </w:r>
    </w:p>
    <w:p>
      <w:pPr>
        <w:pStyle w:val="FirstParagraph"/>
      </w:pPr>
      <w:r>
        <w:t xml:space="preserve">The Autonomy Assessment Tool (AAT) draws on all three constructs and develops a functional instrument. Utilizing AAT we get the outcome, Autonomy Index. The main components of the Autonomy Assessment Tool are – Value Awareness (VA), Factual Understanding (FU), Rational Deliberation (RD), Intentional Action (IA), External Constraint Index (ECI) and Support Provided Index (SPI). Factual Understanding, together with the deliberative component of Rational Deliberation, constitutes the consent-capacity core. Values Awareness, Rational Deliberation, and the choice-expression component of Intentional Action together reconstruct decision capacity. The plan-fulness and follow-through items within Intentional Action, together with the External Constraint Index and Support Provided Index reported alongside the composite, are functional-autonomy constructs that no consent-capacity instrument in the reviewed set measures. This coverage pattern is the design rationale for the Index. Existing instruments cluster on factual understanding because the validity of an authorization turns on it, leaving values, deliberation, and enactment comparatively unmeasured.</w:t>
      </w:r>
    </w:p>
    <w:bookmarkEnd w:id="26"/>
    <w:bookmarkStart w:id="27" w:name="study-objectives"/>
    <w:p>
      <w:pPr>
        <w:pStyle w:val="Heading2"/>
      </w:pPr>
      <w:r>
        <w:rPr>
          <w:bCs/>
          <w:b/>
        </w:rPr>
        <w:t xml:space="preserve">1.4 Study Objectives</w:t>
      </w:r>
    </w:p>
    <w:p>
      <w:pPr>
        <w:pStyle w:val="FirstParagraph"/>
      </w:pPr>
      <w:r>
        <w:t xml:space="preserve">The principal objective of this study is to develop a systematic framework for assessing patient autonomy: to specify what constitutes autonomy in terms concrete enough to be observed and scored rather than judged globally, and then to apply that framework to compare how trained human reviewers and large language models evaluate autonomy across clinical cases.</w:t>
      </w:r>
    </w:p>
    <w:p>
      <w:pPr>
        <w:pStyle w:val="BodyText"/>
      </w:pPr>
      <w:r>
        <w:t xml:space="preserve">Three subsidiary objectives follow from it.</w:t>
      </w:r>
    </w:p>
    <w:p>
      <w:pPr>
        <w:numPr>
          <w:ilvl w:val="0"/>
          <w:numId w:val="1001"/>
        </w:numPr>
      </w:pPr>
      <w:r>
        <w:rPr>
          <w:bCs/>
          <w:b/>
        </w:rPr>
        <w:t xml:space="preserve">Construct specification</w:t>
      </w:r>
      <w:r>
        <w:t xml:space="preserve">. To decompose autonomy into defined components with explicit scoring anchors, and to state precisely how the resulting instrument relates to, and departs from, the decisional-capacity instruments already in clinical use (sections 1.1 to 1.3 and section 2).</w:t>
      </w:r>
    </w:p>
    <w:p>
      <w:pPr>
        <w:numPr>
          <w:ilvl w:val="0"/>
          <w:numId w:val="1001"/>
        </w:numPr>
      </w:pPr>
      <w:r>
        <w:rPr>
          <w:bCs/>
          <w:b/>
        </w:rPr>
        <w:t xml:space="preserve">Application</w:t>
      </w:r>
      <w:r>
        <w:t xml:space="preserve">. To apply the instrument to a corpus of ethically complex clinical cases under identical conditions for both sources of judgment: trained human reviewers, and current general-purpose language models.</w:t>
      </w:r>
    </w:p>
    <w:p>
      <w:pPr>
        <w:numPr>
          <w:ilvl w:val="0"/>
          <w:numId w:val="1001"/>
        </w:numPr>
      </w:pPr>
      <w:r>
        <w:rPr>
          <w:bCs/>
          <w:b/>
        </w:rPr>
        <w:t xml:space="preserve">Comparison</w:t>
      </w:r>
      <w:r>
        <w:t xml:space="preserve">. To establish whether the two sources produce assessments that agree, and to localize any divergence to specific domains of the construct rather than reporting it only as a global difference.</w:t>
      </w:r>
    </w:p>
    <w:p>
      <w:pPr>
        <w:pStyle w:val="FirstParagraph"/>
      </w:pPr>
      <w:r>
        <w:t xml:space="preserve">The comparison is the study’s empirical core, but it is not a validation of the models against a correct answer. Human ratings constitute a reference standard, not ground truth, and the design cannot determine which source is right where they differ. The divergence is informative about both, and the human ratings are reported as a finding in their own right for the reason given in section 1 (section 9.1).</w:t>
      </w:r>
    </w:p>
    <w:bookmarkEnd w:id="27"/>
    <w:bookmarkEnd w:id="28"/>
    <w:bookmarkStart w:id="62" w:name="methods"/>
    <w:p>
      <w:pPr>
        <w:pStyle w:val="Heading1"/>
      </w:pPr>
      <w:r>
        <w:rPr>
          <w:bCs/>
          <w:b/>
        </w:rPr>
        <w:t xml:space="preserve">Methods</w:t>
      </w:r>
    </w:p>
    <w:bookmarkStart w:id="34" w:name="the-autonomy-index"/>
    <w:p>
      <w:pPr>
        <w:pStyle w:val="Heading2"/>
      </w:pPr>
      <w:r>
        <w:rPr>
          <w:bCs/>
          <w:b/>
        </w:rPr>
        <w:t xml:space="preserve">2 The Autonomy Index</w:t>
      </w:r>
    </w:p>
    <w:bookmarkStart w:id="29" w:name="overview"/>
    <w:p>
      <w:pPr>
        <w:pStyle w:val="Heading3"/>
      </w:pPr>
      <w:r>
        <w:rPr>
          <w:bCs/>
          <w:b/>
        </w:rPr>
        <w:t xml:space="preserve">2.1 Overview</w:t>
      </w:r>
    </w:p>
    <w:p>
      <w:pPr>
        <w:pStyle w:val="FirstParagraph"/>
      </w:pPr>
      <w:r>
        <w:t xml:space="preserve">The Autonomy Index (AI) is a structured, multidimensional measure of the degree to which a person’s behavior in a clinical situation reflects autonomous agency. Autonomy is commonly treated in practice as a binary state, present or absent, even though real decision-making unfolds across cognitive, affective, and contextual dimensions that vary in degree. The Autonomy Index treats autonomy as graded and decomposable, scoring it across four domains and reporting two contextual conditions alongside the result. The measure is applied here to written clinical vignettes. A rater reads a vignette and scores the subject described in it.</w:t>
      </w:r>
    </w:p>
    <w:p>
      <w:pPr>
        <w:pStyle w:val="BodyText"/>
      </w:pPr>
      <w:r>
        <w:t xml:space="preserve">The Autonomy Index is a measurement instrument, not a capacity determination. It yields a graded description of a decision-making episode as depicted in a case. Determining that a specific patient does or does not have capacity for a specific decision is a clinical and legal judgment made by qualified clinicians, and no threshold in this instrument is intended to substitute for it.</w:t>
      </w:r>
    </w:p>
    <w:bookmarkEnd w:id="29"/>
    <w:bookmarkStart w:id="33" w:name="relationship-to-the-appelbaum-model"/>
    <w:p>
      <w:pPr>
        <w:pStyle w:val="Heading3"/>
      </w:pPr>
      <w:r>
        <w:rPr>
          <w:bCs/>
          <w:b/>
        </w:rPr>
        <w:t xml:space="preserve">2.2 Relationship to the Appelbaum model</w:t>
      </w:r>
    </w:p>
    <w:p>
      <w:pPr>
        <w:pStyle w:val="FirstParagraph"/>
      </w:pPr>
      <w:r>
        <w:t xml:space="preserve">The Autonomy Index framework is an outcome of a review of several existing instruments. We found Applebaum and Grisso’s model did a holistic job of incorporating most of the autonomy-related aspects in their model. However, there were some areas that needed expansion and a demarcation between a clinical instrument that supports judgement about a patient has decision making capacity with that of an index that compared humans to LLM’s. The Autonomy Index asks a graded question about the decision-making episode as a whole, including the conditions surrounding it, and is scored from a written case rather than from a live semi-structured interview.</w:t>
      </w:r>
    </w:p>
    <w:p>
      <w:pPr>
        <w:pStyle w:val="BodyText"/>
      </w:pPr>
      <w:r>
        <w:t xml:space="preserve">The framework extends the Appelbaum &amp; Grisso model in three specified respects, described in sections 2.2.1 to 2.2.3.</w:t>
      </w:r>
    </w:p>
    <w:bookmarkStart w:id="30" w:name="relational-appreciation-item"/>
    <w:p>
      <w:pPr>
        <w:pStyle w:val="Heading4"/>
      </w:pPr>
      <w:r>
        <w:rPr>
          <w:bCs/>
          <w:b/>
        </w:rPr>
        <w:t xml:space="preserve">2.2.1 Relational appreciation item</w:t>
      </w:r>
    </w:p>
    <w:p>
      <w:pPr>
        <w:pStyle w:val="FirstParagraph"/>
      </w:pPr>
      <w:r>
        <w:t xml:space="preserve">The Appelbaum model uses appreciation to mean the patient’s recognition that a diagnosis and its options apply to their own situation rather than to a hypothetical other. That sense is retained in the Autonomy Index, carried by the Factual Understanding applicability item (FU3). Added to it is a distinct item, scored within Values Awareness (VA4), asking whether the subject appreciates the clinical team’s efforts to provide them comfort and care. A person may correctly apply the facts to themselves while operating inside a therapeutic relationship they experience as indifferent or adversarial. Where recognition of the team’s efforts is absent, deliberation is proceeding with a distorted reading of the parties presenting the options, which is a feature of the episode that the parent construct does not record.</w:t>
      </w:r>
    </w:p>
    <w:p>
      <w:pPr>
        <w:pStyle w:val="BodyText"/>
      </w:pPr>
      <w:r>
        <w:t xml:space="preserve">The item is scored on evidence of recognition, not on gratitude or compliance. A subject who acknowledges the team’s efforts and nonetheless refuses the recommended treatment scores highly. A subject who is uniformly agreeable but shows no sign of registering what is being done for them does not. The distinction is stated in the instrument documentation because the failure mode of this item is drift toward rewarding deference, which would invert the purpose of an autonomy measure.</w:t>
      </w:r>
    </w:p>
    <w:bookmarkEnd w:id="30"/>
    <w:bookmarkStart w:id="31" w:name="external-constraint-index"/>
    <w:p>
      <w:pPr>
        <w:pStyle w:val="Heading4"/>
      </w:pPr>
      <w:r>
        <w:rPr>
          <w:bCs/>
          <w:b/>
        </w:rPr>
        <w:t xml:space="preserve">2.2.2 External Constraint Index</w:t>
      </w:r>
    </w:p>
    <w:p>
      <w:pPr>
        <w:pStyle w:val="FirstParagraph"/>
      </w:pPr>
      <w:r>
        <w:t xml:space="preserve">The Appelbaum model treats capacity as a property of the individual and is silent on circumstance. A subject who cannot describe a feasible plan because no feasible plan is available to them is scored identically to one who cannot describe a plan because their reasoning is impaired. The External Constraint Index (ECI) records the logistical, financial, social, coercive, and environmental barriers bearing on the decision, so that the two cases are distinguishable in the output even where their Intentional Action scores are similar.</w:t>
      </w:r>
    </w:p>
    <w:bookmarkEnd w:id="31"/>
    <w:bookmarkStart w:id="32" w:name="support-provided-index"/>
    <w:p>
      <w:pPr>
        <w:pStyle w:val="Heading4"/>
      </w:pPr>
      <w:r>
        <w:rPr>
          <w:bCs/>
          <w:b/>
        </w:rPr>
        <w:t xml:space="preserve">2.2.3 Support Provided Index</w:t>
      </w:r>
    </w:p>
    <w:p>
      <w:pPr>
        <w:pStyle w:val="FirstParagraph"/>
      </w:pPr>
      <w:r>
        <w:t xml:space="preserve">The existing frameworks did not record what was offered to the person before their abilities were assessed. Comprehension measured after a rushed disclosure is not the same quantity as comprehension measured after interpretation, teach-back, and a written summary, yet both would be recorded simply as comprehension. The Support Provided Index (SPI) records the communicative and structural support supplied, making the adequacy of the conditions visible alongside the result.</w:t>
      </w:r>
    </w:p>
    <w:p>
      <w:pPr>
        <w:pStyle w:val="BodyText"/>
      </w:pPr>
      <w:r>
        <w:t xml:space="preserve">Neither index enters the composite. The reasoning is given in section 4.5.</w:t>
      </w:r>
    </w:p>
    <w:bookmarkEnd w:id="32"/>
    <w:bookmarkEnd w:id="33"/>
    <w:bookmarkEnd w:id="34"/>
    <w:bookmarkStart w:id="43" w:name="study-design"/>
    <w:p>
      <w:pPr>
        <w:pStyle w:val="Heading2"/>
      </w:pPr>
      <w:r>
        <w:rPr>
          <w:bCs/>
          <w:b/>
        </w:rPr>
        <w:t xml:space="preserve">3 Study design</w:t>
      </w:r>
    </w:p>
    <w:bookmarkStart w:id="35" w:name="design-units-and-rater-allocation"/>
    <w:p>
      <w:pPr>
        <w:pStyle w:val="Heading3"/>
      </w:pPr>
      <w:r>
        <w:rPr>
          <w:bCs/>
          <w:b/>
        </w:rPr>
        <w:t xml:space="preserve">3.1 Design, units, and rater allocation</w:t>
      </w:r>
    </w:p>
    <w:p>
      <w:pPr>
        <w:pStyle w:val="FirstParagraph"/>
      </w:pPr>
      <w:r>
        <w:t xml:space="preserve">The study compares two sources of ratings, human reviewers and large language models, applying the same thirteen-item instrument with the same response scale to the same clinical vignettes. Both sources therefore perform an identical task, and observed differences between human and model ratings are attributable to the rater rather than to differences in stimulus, instrument, or response format.</w:t>
      </w:r>
    </w:p>
    <w:p>
      <w:pPr>
        <w:pStyle w:val="BodyText"/>
      </w:pPr>
      <w:r>
        <w:rPr>
          <w:bCs/>
          <w:b/>
        </w:rPr>
        <w:t xml:space="preserve">Units.</w:t>
      </w:r>
      <w:r>
        <w:t xml:space="preserve"> Two units must be distinguished. The </w:t>
      </w:r>
      <w:r>
        <w:rPr>
          <w:iCs/>
          <w:i/>
        </w:rPr>
        <w:t xml:space="preserve">observation</w:t>
      </w:r>
      <w:r>
        <w:t xml:space="preserve"> is a single rating of a single vignette by a single rater, comprising thirteen item scores plus ECI and SPI. The </w:t>
      </w:r>
      <w:r>
        <w:rPr>
          <w:iCs/>
          <w:i/>
        </w:rPr>
        <w:t xml:space="preserve">analytic unit</w:t>
      </w:r>
      <w:r>
        <w:t xml:space="preserve"> for the primary comparison is the vignette, represented by the aggregate of its constituent ratings from each source, computed as specified in section 4.2.</w:t>
      </w:r>
    </w:p>
    <w:p>
      <w:pPr>
        <w:pStyle w:val="BodyText"/>
      </w:pPr>
      <w:r>
        <w:rPr>
          <w:bCs/>
          <w:b/>
        </w:rPr>
        <w:t xml:space="preserve">Rater allocation and participation.</w:t>
      </w:r>
      <w:r>
        <w:t xml:space="preserve"> Vignettes were assigned in blocks of five by round robin, with the expectation that each reviewer would complete at least three. Forty-five reviewers were assigned blocks; 30 submitted at least one rating and 26 submitted three or more. One administrative test account was excluded from all counts. Recruitment, access, and reviewer characteristics are reported in section 5.1. Data were frozen for analysis on </w:t>
      </w:r>
      <w:r>
        <w:rPr>
          <w:bCs/>
          <w:b/>
        </w:rPr>
        <w:t xml:space="preserve">[FREEZE DATE]</w:t>
      </w:r>
      <w:r>
        <w:t xml:space="preserve">. At freeze, 175 ratings had been submitted across 275 assignment slots, an overall completion rate of 63.6 percent. Reviewers who submitted at least one rating completed a median of 5 ratings (mean 5.7, range 1 to 18). Data collection continued after the freeze; the study platform recorded 184 submitted ratings, with a further 18 in draft, as of </w:t>
      </w:r>
      <w:r>
        <w:rPr>
          <w:bCs/>
          <w:b/>
        </w:rPr>
        <w:t xml:space="preserve">[DATE]</w:t>
      </w:r>
      <w:r>
        <w:t xml:space="preserve">. Ratings submitted after the freeze are not included in any analysis reported here and will be reported in a subsequent version.</w:t>
      </w:r>
    </w:p>
    <w:p>
      <w:pPr>
        <w:pStyle w:val="BodyText"/>
      </w:pPr>
      <w:r>
        <w:t xml:space="preserve">Of the 175 submitted ratings, 173 satisfied the domain-completeness rule specified in section 3.5 and constitute the analyzed dataset; two were excluded for insufficient answered items rather than to balance the design. Across the analyzed set, ratings per vignette ranged from 1 to 6 (median 3, mean 3.46, harmonic mean 3.09). The per-vignette distribution is one vignette with a single rating, six with two, twenty-three with three, twelve with four, five with five, and three with six, so forty-three of the 50 vignettes reached three or more ratings and seven fell below that target. The rater-by-vignette design is therefore incomplete and unbalanced rather than fully crossed. This is stated explicitly because it constrains the choice of reliability estimator.</w:t>
      </w:r>
    </w:p>
    <w:p>
      <w:pPr>
        <w:pStyle w:val="BodyText"/>
      </w:pPr>
      <w:r>
        <w:t xml:space="preserve">Three consequences follow. First, rater main effects and vignette effects are not separable by inspection and must be estimated jointly within a single model. Second, ICC(2,k) [16] presumes a fully crossed design in which every rater scores every subject, and is therefore not an appropriate estimator here; section 6.1 estimates variance components from a mixed model with crossed random intercepts for vignette and rater instead. Third, because the number of ratings per vignette varies, no single coefficient describes the reliability of the aggregate, and reliability is reported at the harmonic mean of the per-vignette rating counts rather than at a fixed number of raters.</w:t>
      </w:r>
    </w:p>
    <w:p>
      <w:pPr>
        <w:pStyle w:val="BodyText"/>
      </w:pPr>
      <w:r>
        <w:t xml:space="preserve">The incidence graph linking raters to vignettes forms a single connected component spanning all 50 vignettes and all 30 contributing raters. The design is therefore linked, and the rater and vignette variance components are separately identified.</w:t>
      </w:r>
    </w:p>
    <w:bookmarkEnd w:id="35"/>
    <w:bookmarkStart w:id="36" w:name="ethical-approval"/>
    <w:p>
      <w:pPr>
        <w:pStyle w:val="Heading3"/>
      </w:pPr>
      <w:r>
        <w:rPr>
          <w:bCs/>
          <w:b/>
        </w:rPr>
        <w:t xml:space="preserve">3.2 Ethical approval</w:t>
      </w:r>
    </w:p>
    <w:p>
      <w:pPr>
        <w:pStyle w:val="FirstParagraph"/>
      </w:pPr>
      <w:r>
        <w:t xml:space="preserve">Human data collection was conducted under protocol IRB26-0146, approved by the Harvard Longwood Campus Institutional Review Board. Participants provided documented electronic consent before accessing any study material. No identifiable patient data were used; all vignettes derive from published or public-domain sources.</w:t>
      </w:r>
    </w:p>
    <w:bookmarkEnd w:id="36"/>
    <w:bookmarkStart w:id="40" w:name="stimuli"/>
    <w:p>
      <w:pPr>
        <w:pStyle w:val="Heading3"/>
      </w:pPr>
      <w:r>
        <w:rPr>
          <w:bCs/>
          <w:b/>
        </w:rPr>
        <w:t xml:space="preserve">3.3 Stimuli</w:t>
      </w:r>
    </w:p>
    <w:p>
      <w:pPr>
        <w:pStyle w:val="FirstParagraph"/>
      </w:pPr>
      <w:r>
        <w:t xml:space="preserve">The corpus consists of clinical vignettes drawn from published case reports and public-domain clinical material, spanning ethically complex presentations in psychiatry, geriatrics, oncology, and acute medicine. Cases were selected for the presence of genuine ethical tension rather than for diagnostic difficulty alone.</w:t>
      </w:r>
    </w:p>
    <w:p>
      <w:pPr>
        <w:pStyle w:val="BodyText"/>
      </w:pPr>
      <w:r>
        <w:t xml:space="preserve">Vignettes are written as continuous prose without internal section headings. The subject of assessment is anchored explicitly in the opening lines. This is a deliberate constraint: ethical ambiguity within a case is a feature of the stimulus, but ambiguity about whose autonomy is being rated is a defect that introduces variance unrelated to the construct. Each vignette closes with a neutral sentence naming the ethical tension present in the case without directing the rater toward any particular analysis or conclusion.</w:t>
      </w:r>
    </w:p>
    <w:p>
      <w:pPr>
        <w:pStyle w:val="BodyText"/>
      </w:pPr>
      <w:r>
        <w:t xml:space="preserve">Two vignette sets are used. The full corpus comprises 89 vignettes and was scored by the March 2026 model run. A subset of 50 vignettes was carried forward into human review and constitutes the comparison set. All human–model comparisons are restricted to these 50.</w:t>
      </w:r>
    </w:p>
    <w:p>
      <w:pPr>
        <w:pStyle w:val="BodyText"/>
      </w:pPr>
      <w:r>
        <w:drawing>
          <wp:inline>
            <wp:extent cx="4305300" cy="4762500"/>
            <wp:effectExtent b="0" l="0" r="0" t="0"/>
            <wp:docPr descr="" title="" id="38" name="Picture"/>
            <a:graphic>
              <a:graphicData uri="http://schemas.openxmlformats.org/drawingml/2006/picture">
                <pic:pic>
                  <pic:nvPicPr>
                    <pic:cNvPr descr="./media/media/image2.png" id="39" name="Picture"/>
                    <pic:cNvPicPr>
                      <a:picLocks noChangeArrowheads="1" noChangeAspect="1"/>
                    </pic:cNvPicPr>
                  </pic:nvPicPr>
                  <pic:blipFill>
                    <a:blip r:embed="rId37"/>
                    <a:stretch>
                      <a:fillRect/>
                    </a:stretch>
                  </pic:blipFill>
                  <pic:spPr bwMode="auto">
                    <a:xfrm>
                      <a:off x="0" y="0"/>
                      <a:ext cx="4305300" cy="4762500"/>
                    </a:xfrm>
                    <a:prstGeom prst="rect">
                      <a:avLst/>
                    </a:prstGeom>
                    <a:noFill/>
                    <a:ln w="9525">
                      <a:noFill/>
                      <a:headEnd/>
                      <a:tailEnd/>
                    </a:ln>
                  </pic:spPr>
                </pic:pic>
              </a:graphicData>
            </a:graphic>
          </wp:inline>
        </w:drawing>
      </w:r>
    </w:p>
    <w:p>
      <w:pPr>
        <w:pStyle w:val="BodyText"/>
      </w:pPr>
      <w:r>
        <w:t xml:space="preserve">Figure 3. Derivation of the corpus and the comparison set. Vignettes were drawn from published case reports and public-domain clinical material, screened for the presence of genuine ethical tension, and written to a common formatting standard, yielding a corpus of 89. All 89 were then scored by the March 2026 model run, which produced the two variables used for stratification: the mean composite and the standard deviation of the composite across models. Fifty vignettes were selected from the scored corpus against the five criteria shown, which are specified in the text below; the remaining 39 were scored but not selected for human review.</w:t>
      </w:r>
    </w:p>
    <w:p>
      <w:pPr>
        <w:pStyle w:val="BodyText"/>
      </w:pPr>
      <w:r>
        <w:rPr>
          <w:bCs/>
          <w:b/>
        </w:rPr>
        <w:t xml:space="preserve">Selection of the comparison set.</w:t>
      </w:r>
      <w:r>
        <w:t xml:space="preserve"> Selection was stratified rather than random, and the stratifying variables were derived from the March model scores. Five criteria were applied jointly; Figure 3 above shows where they sit in the derivation.</w:t>
      </w:r>
    </w:p>
    <w:p>
      <w:pPr>
        <w:numPr>
          <w:ilvl w:val="0"/>
          <w:numId w:val="1002"/>
        </w:numPr>
      </w:pPr>
      <w:r>
        <w:t xml:space="preserve">Score tier coverage. Vignettes were sorted by mean March-run Autonomy Index and divided into five tiers (0–17, 17–28, 28–40, 40–60, 60–93), with ten vignettes drawn from each tier so that the comparison set spans the full observed range of the composite, from near-zero to near-ceiling.</w:t>
      </w:r>
    </w:p>
    <w:p>
      <w:pPr>
        <w:numPr>
          <w:ilvl w:val="0"/>
          <w:numId w:val="1002"/>
        </w:numPr>
      </w:pPr>
      <w:r>
        <w:t xml:space="preserve">Inter-model disagreement. Vignettes were classified by the standard deviation of the composite across models as low (SD &lt; 6), medium (6 to 14), or high (SD &gt; 14), and all three strata are represented. High-disagreement vignettes, where models diverge sharply, were deliberately oversampled as the most informative for human adjudication. Low-disagreement vignettes were retained as calibration anchors, permitting a test of whether human reviewers converge with model consensus where that consensus is strong. The realized set contains 22 high-disagreement, 14 medium, and 14 low-disagreement vignettes.</w:t>
      </w:r>
    </w:p>
    <w:p>
      <w:pPr>
        <w:numPr>
          <w:ilvl w:val="0"/>
          <w:numId w:val="1002"/>
        </w:numPr>
      </w:pPr>
      <w:r>
        <w:t xml:space="preserve">Ethical domain diversity. The set spans all five domains of the parent study: paternalism in the therapeutic relationship; duties to patients and families; deciding for others; medical research involving human subjects; and physicians, third parties, and society. The realized distribution is 13 end-of-life and duties to patients, 9 deciding for others and surrogate decisions, 8 paternalism and therapeutic relationship, 8 resource allocation and justice, 5 research and genetic ethics, 3 reproductive and maternal-fetal, and 4 other.</w:t>
      </w:r>
    </w:p>
    <w:p>
      <w:pPr>
        <w:numPr>
          <w:ilvl w:val="0"/>
          <w:numId w:val="1002"/>
        </w:numPr>
      </w:pPr>
      <w:r>
        <w:t xml:space="preserve">Landmark and paradigm cases. Three widely taught cases (Quinlan, Tarasoff, Baby K) were included deliberately as known anchors for reviewers with clinical ethics training, and because their inclusion permits a check on whether prior familiarity shifts human ratings relative to unfamiliar material.</w:t>
      </w:r>
    </w:p>
    <w:p>
      <w:pPr>
        <w:numPr>
          <w:ilvl w:val="0"/>
          <w:numId w:val="1002"/>
        </w:numPr>
      </w:pPr>
      <w:r>
        <w:t xml:space="preserve">ECI and SPI context. The External Constraint Index and Support Provided Index are recorded for every vignette in the comparison set, so that reviewers can register structural barriers and provided supports alongside their assessment of autonomy rather than absorbing them into it. This is a property carried into the set rather than a filter applied to it: no vignette was included or excluded on the basis of its ECI or SPI value.</w:t>
      </w:r>
    </w:p>
    <w:p>
      <w:pPr>
        <w:pStyle w:val="FirstParagraph"/>
      </w:pPr>
      <w:r>
        <w:rPr>
          <w:bCs/>
          <w:b/>
        </w:rPr>
        <w:t xml:space="preserve">Consequences of score-stratified selection.</w:t>
      </w:r>
      <w:r>
        <w:t xml:space="preserve"> Because the stratifying variables are the model scores themselves, selection is not independent of the quantity under comparison, and three specific biases follow. They act in different directions, so the net effect cannot be assumed benign and each is handled separately in section 6.2.</w:t>
      </w:r>
    </w:p>
    <w:p>
      <w:pPr>
        <w:pStyle w:val="BodyText"/>
      </w:pPr>
      <w:r>
        <w:t xml:space="preserve">First, drawing equally from five score tiers widens the variance of model scores in the comparison set relative to the corpus. Correlation coefficients are sensitive to the range of the predictor, so the human–model correlation estimated on this set is expected to exceed what a random sample of the corpus would yield. Reported correlations are therefore upper estimates with respect to the corpus.</w:t>
      </w:r>
    </w:p>
    <w:p>
      <w:pPr>
        <w:pStyle w:val="BodyText"/>
      </w:pPr>
      <w:r>
        <w:t xml:space="preserve">Second, oversampling high-disagreement vignettes works in the opposite direction. Vignettes on which models diverge are, by construction, those on which any single model score is least stable, which attenuates observed agreement with the human reference. Correlations are consequently deflated relative to a random sample on this dimension.</w:t>
      </w:r>
    </w:p>
    <w:p>
      <w:pPr>
        <w:pStyle w:val="BodyText"/>
      </w:pPr>
      <w:r>
        <w:t xml:space="preserve">Third, and most consequential for the level comparison, selecting vignettes at the extremes of the March score distribution selects partly on measurement error. Model scores in the lowest and highest tiers are extreme in part because of run-to-run noise, so on re-measurement they regress toward the mean, while human ratings carry no such selection artifact. Any statistic computed across the full score range, including the slope of difference on mean in a Bland–Altman analysis, will therefore show a spurious proportional bias, with models appearing to score above humans at the low end and below them at the high end. The artifact operates across tiers rather than within them, so the level comparison in section 6.2 is estimated within score tier, which avoids it by construction rather than correcting for it afterwards.</w:t>
      </w:r>
    </w:p>
    <w:bookmarkEnd w:id="40"/>
    <w:bookmarkStart w:id="41" w:name="instrument"/>
    <w:p>
      <w:pPr>
        <w:pStyle w:val="Heading3"/>
      </w:pPr>
      <w:r>
        <w:rPr>
          <w:bCs/>
          <w:b/>
        </w:rPr>
        <w:t xml:space="preserve">3.4 Instrument</w:t>
      </w:r>
    </w:p>
    <w:p>
      <w:pPr>
        <w:pStyle w:val="FirstParagraph"/>
      </w:pPr>
      <w:r>
        <w:t xml:space="preserve">Thirteen items across four domains, plus two contextual modifiers. Wording below is verbatim as presented to both human reviewers and models; in the tables, “the subject” abbreviates the instrument’s phrasing, which names the subject in the vignette.</w:t>
      </w:r>
    </w:p>
    <w:p>
      <w:pPr>
        <w:pStyle w:val="BodyText"/>
      </w:pPr>
      <w:r>
        <w:rPr>
          <w:bCs/>
          <w:b/>
        </w:rPr>
        <w:t xml:space="preserve">Table 2. Instrument items.</w:t>
      </w:r>
    </w:p>
    <w:tbl>
      <w:tblPr>
        <w:tblStyle w:val="Table"/>
        <w:tblW w:type="pct" w:w="4939"/>
        <w:tblLook w:firstRow="1" w:lastRow="0" w:firstColumn="0" w:lastColumn="0" w:noHBand="0" w:noVBand="0" w:val="0020"/>
        <w:jc w:val="start"/>
      </w:tblPr>
      <w:tblGrid>
        <w:gridCol w:w="869"/>
        <w:gridCol w:w="2028"/>
        <w:gridCol w:w="4925"/>
      </w:tblGrid>
      <w:tr>
        <w:trPr>
          <w:tblHeader w:val="true"/>
        </w:trPr>
        <w:tc>
          <w:tcPr/>
          <w:p>
            <w:pPr>
              <w:pStyle w:val="Compact"/>
              <w:jc w:val="left"/>
            </w:pPr>
            <w:r>
              <w:rPr>
                <w:bCs/>
                <w:b/>
              </w:rPr>
              <w:t xml:space="preserve">ID</w:t>
            </w:r>
          </w:p>
        </w:tc>
        <w:tc>
          <w:tcPr/>
          <w:p>
            <w:pPr>
              <w:pStyle w:val="Compact"/>
              <w:jc w:val="left"/>
            </w:pPr>
            <w:r>
              <w:rPr>
                <w:bCs/>
                <w:b/>
              </w:rPr>
              <w:t xml:space="preserve">Label</w:t>
            </w:r>
          </w:p>
        </w:tc>
        <w:tc>
          <w:tcPr/>
          <w:p>
            <w:pPr>
              <w:pStyle w:val="Compact"/>
              <w:jc w:val="left"/>
            </w:pPr>
            <w:r>
              <w:rPr>
                <w:bCs/>
                <w:b/>
              </w:rPr>
              <w:t xml:space="preserve">Item as presented</w:t>
            </w:r>
          </w:p>
        </w:tc>
      </w:tr>
      <w:tr>
        <w:tc>
          <w:tcPr/>
          <w:p>
            <w:pPr>
              <w:pStyle w:val="Compact"/>
              <w:jc w:val="left"/>
            </w:pPr>
            <w:r>
              <w:t xml:space="preserve">VA1</w:t>
            </w:r>
          </w:p>
        </w:tc>
        <w:tc>
          <w:tcPr/>
          <w:p>
            <w:pPr>
              <w:pStyle w:val="Compact"/>
              <w:jc w:val="left"/>
            </w:pPr>
            <w:r>
              <w:t xml:space="preserve">Value Clarity</w:t>
            </w:r>
          </w:p>
        </w:tc>
        <w:tc>
          <w:tcPr/>
          <w:p>
            <w:pPr>
              <w:pStyle w:val="Compact"/>
              <w:jc w:val="left"/>
            </w:pPr>
            <w:r>
              <w:t xml:space="preserve">How clearly does the subject articulate their core values relevant to the decision?</w:t>
            </w:r>
          </w:p>
        </w:tc>
      </w:tr>
      <w:tr>
        <w:tc>
          <w:tcPr/>
          <w:p>
            <w:pPr>
              <w:pStyle w:val="Compact"/>
              <w:jc w:val="left"/>
            </w:pPr>
            <w:r>
              <w:t xml:space="preserve">VA2</w:t>
            </w:r>
          </w:p>
        </w:tc>
        <w:tc>
          <w:tcPr/>
          <w:p>
            <w:pPr>
              <w:pStyle w:val="Compact"/>
              <w:jc w:val="left"/>
            </w:pPr>
            <w:r>
              <w:t xml:space="preserve">Value Stability</w:t>
            </w:r>
          </w:p>
        </w:tc>
        <w:tc>
          <w:tcPr/>
          <w:p>
            <w:pPr>
              <w:pStyle w:val="Compact"/>
              <w:jc w:val="left"/>
            </w:pPr>
            <w:r>
              <w:t xml:space="preserve">How stable and consistent are the subject’s expressed values?</w:t>
            </w:r>
          </w:p>
        </w:tc>
      </w:tr>
      <w:tr>
        <w:tc>
          <w:tcPr/>
          <w:p>
            <w:pPr>
              <w:pStyle w:val="Compact"/>
              <w:jc w:val="left"/>
            </w:pPr>
            <w:r>
              <w:t xml:space="preserve">VA3</w:t>
            </w:r>
          </w:p>
        </w:tc>
        <w:tc>
          <w:tcPr/>
          <w:p>
            <w:pPr>
              <w:pStyle w:val="Compact"/>
              <w:jc w:val="left"/>
            </w:pPr>
            <w:r>
              <w:t xml:space="preserve">Framework Awareness</w:t>
            </w:r>
          </w:p>
        </w:tc>
        <w:tc>
          <w:tcPr/>
          <w:p>
            <w:pPr>
              <w:pStyle w:val="Compact"/>
              <w:jc w:val="left"/>
            </w:pPr>
            <w:r>
              <w:t xml:space="preserve">Does the subject demonstrate awareness of how their values relate to the decision?</w:t>
            </w:r>
          </w:p>
        </w:tc>
      </w:tr>
      <w:tr>
        <w:tc>
          <w:tcPr/>
          <w:p>
            <w:pPr>
              <w:pStyle w:val="Compact"/>
              <w:jc w:val="left"/>
            </w:pPr>
            <w:r>
              <w:t xml:space="preserve">VA4</w:t>
            </w:r>
          </w:p>
        </w:tc>
        <w:tc>
          <w:tcPr/>
          <w:p>
            <w:pPr>
              <w:pStyle w:val="Compact"/>
              <w:jc w:val="left"/>
            </w:pPr>
            <w:r>
              <w:t xml:space="preserve">Appreciation</w:t>
            </w:r>
          </w:p>
        </w:tc>
        <w:tc>
          <w:tcPr/>
          <w:p>
            <w:pPr>
              <w:pStyle w:val="Compact"/>
              <w:jc w:val="left"/>
            </w:pPr>
            <w:r>
              <w:t xml:space="preserve">Does the subject appreciate the clinical team’s efforts to provide them comfort and care?</w:t>
            </w:r>
          </w:p>
        </w:tc>
      </w:tr>
      <w:tr>
        <w:tc>
          <w:tcPr/>
          <w:p>
            <w:pPr>
              <w:pStyle w:val="Compact"/>
              <w:jc w:val="left"/>
            </w:pPr>
            <w:r>
              <w:t xml:space="preserve">FU1</w:t>
            </w:r>
          </w:p>
        </w:tc>
        <w:tc>
          <w:tcPr/>
          <w:p>
            <w:pPr>
              <w:pStyle w:val="Compact"/>
              <w:jc w:val="left"/>
            </w:pPr>
            <w:r>
              <w:t xml:space="preserve">Key Facts Recall</w:t>
            </w:r>
          </w:p>
        </w:tc>
        <w:tc>
          <w:tcPr/>
          <w:p>
            <w:pPr>
              <w:pStyle w:val="Compact"/>
              <w:jc w:val="left"/>
            </w:pPr>
            <w:r>
              <w:t xml:space="preserve">Can the subject recall key facts about their condition and treatment options?</w:t>
            </w:r>
          </w:p>
        </w:tc>
      </w:tr>
      <w:tr>
        <w:tc>
          <w:tcPr/>
          <w:p>
            <w:pPr>
              <w:pStyle w:val="Compact"/>
              <w:jc w:val="left"/>
            </w:pPr>
            <w:r>
              <w:t xml:space="preserve">FU2</w:t>
            </w:r>
          </w:p>
        </w:tc>
        <w:tc>
          <w:tcPr/>
          <w:p>
            <w:pPr>
              <w:pStyle w:val="Compact"/>
              <w:jc w:val="left"/>
            </w:pPr>
            <w:r>
              <w:t xml:space="preserve">Risk Comprehension</w:t>
            </w:r>
          </w:p>
        </w:tc>
        <w:tc>
          <w:tcPr/>
          <w:p>
            <w:pPr>
              <w:pStyle w:val="Compact"/>
              <w:jc w:val="left"/>
            </w:pPr>
            <w:r>
              <w:t xml:space="preserve">Does the subject understand the risks and benefits of each option?</w:t>
            </w:r>
          </w:p>
        </w:tc>
      </w:tr>
      <w:tr>
        <w:tc>
          <w:tcPr/>
          <w:p>
            <w:pPr>
              <w:pStyle w:val="Compact"/>
              <w:jc w:val="left"/>
            </w:pPr>
            <w:r>
              <w:t xml:space="preserve">FU3</w:t>
            </w:r>
          </w:p>
        </w:tc>
        <w:tc>
          <w:tcPr/>
          <w:p>
            <w:pPr>
              <w:pStyle w:val="Compact"/>
              <w:jc w:val="left"/>
            </w:pPr>
            <w:r>
              <w:t xml:space="preserve">Applicability</w:t>
            </w:r>
          </w:p>
        </w:tc>
        <w:tc>
          <w:tcPr/>
          <w:p>
            <w:pPr>
              <w:pStyle w:val="Compact"/>
              <w:jc w:val="left"/>
            </w:pPr>
            <w:r>
              <w:t xml:space="preserve">Can the subject apply the information to their own situation?</w:t>
            </w:r>
          </w:p>
        </w:tc>
      </w:tr>
      <w:tr>
        <w:tc>
          <w:tcPr/>
          <w:p>
            <w:pPr>
              <w:pStyle w:val="Compact"/>
              <w:jc w:val="left"/>
            </w:pPr>
            <w:r>
              <w:t xml:space="preserve">RD1</w:t>
            </w:r>
          </w:p>
        </w:tc>
        <w:tc>
          <w:tcPr/>
          <w:p>
            <w:pPr>
              <w:pStyle w:val="Compact"/>
              <w:jc w:val="left"/>
            </w:pPr>
            <w:r>
              <w:t xml:space="preserve">Coherence</w:t>
            </w:r>
          </w:p>
        </w:tc>
        <w:tc>
          <w:tcPr/>
          <w:p>
            <w:pPr>
              <w:pStyle w:val="Compact"/>
              <w:jc w:val="left"/>
            </w:pPr>
            <w:r>
              <w:t xml:space="preserve">Is the subject’s reasoning logically coherent and consistent?</w:t>
            </w:r>
          </w:p>
        </w:tc>
      </w:tr>
      <w:tr>
        <w:tc>
          <w:tcPr/>
          <w:p>
            <w:pPr>
              <w:pStyle w:val="Compact"/>
              <w:jc w:val="left"/>
            </w:pPr>
            <w:r>
              <w:t xml:space="preserve">RD2</w:t>
            </w:r>
          </w:p>
        </w:tc>
        <w:tc>
          <w:tcPr/>
          <w:p>
            <w:pPr>
              <w:pStyle w:val="Compact"/>
              <w:jc w:val="left"/>
            </w:pPr>
            <w:r>
              <w:t xml:space="preserve">Trade-off Reasoning</w:t>
            </w:r>
          </w:p>
        </w:tc>
        <w:tc>
          <w:tcPr/>
          <w:p>
            <w:pPr>
              <w:pStyle w:val="Compact"/>
              <w:jc w:val="left"/>
            </w:pPr>
            <w:r>
              <w:t xml:space="preserve">Can the subject weigh trade-offs between options?</w:t>
            </w:r>
          </w:p>
        </w:tc>
      </w:tr>
      <w:tr>
        <w:tc>
          <w:tcPr/>
          <w:p>
            <w:pPr>
              <w:pStyle w:val="Compact"/>
              <w:jc w:val="left"/>
            </w:pPr>
            <w:r>
              <w:t xml:space="preserve">RD3</w:t>
            </w:r>
          </w:p>
        </w:tc>
        <w:tc>
          <w:tcPr/>
          <w:p>
            <w:pPr>
              <w:pStyle w:val="Compact"/>
              <w:jc w:val="left"/>
            </w:pPr>
            <w:r>
              <w:t xml:space="preserve">Consistency</w:t>
            </w:r>
          </w:p>
        </w:tc>
        <w:tc>
          <w:tcPr/>
          <w:p>
            <w:pPr>
              <w:pStyle w:val="Compact"/>
              <w:jc w:val="left"/>
            </w:pPr>
            <w:r>
              <w:t xml:space="preserve">Is the decision consistent with the subject’s stated values and understanding?</w:t>
            </w:r>
          </w:p>
        </w:tc>
      </w:tr>
      <w:tr>
        <w:tc>
          <w:tcPr/>
          <w:p>
            <w:pPr>
              <w:pStyle w:val="Compact"/>
              <w:jc w:val="left"/>
            </w:pPr>
            <w:r>
              <w:t xml:space="preserve">IA1</w:t>
            </w:r>
          </w:p>
        </w:tc>
        <w:tc>
          <w:tcPr/>
          <w:p>
            <w:pPr>
              <w:pStyle w:val="Compact"/>
              <w:jc w:val="left"/>
            </w:pPr>
            <w:r>
              <w:t xml:space="preserve">Intention Strength</w:t>
            </w:r>
          </w:p>
        </w:tc>
        <w:tc>
          <w:tcPr/>
          <w:p>
            <w:pPr>
              <w:pStyle w:val="Compact"/>
              <w:jc w:val="left"/>
            </w:pPr>
            <w:r>
              <w:t xml:space="preserve">How clearly does the subject express their intended course of action?</w:t>
            </w:r>
          </w:p>
        </w:tc>
      </w:tr>
      <w:tr>
        <w:tc>
          <w:tcPr/>
          <w:p>
            <w:pPr>
              <w:pStyle w:val="Compact"/>
              <w:jc w:val="left"/>
            </w:pPr>
            <w:r>
              <w:t xml:space="preserve">IA2</w:t>
            </w:r>
          </w:p>
        </w:tc>
        <w:tc>
          <w:tcPr/>
          <w:p>
            <w:pPr>
              <w:pStyle w:val="Compact"/>
              <w:jc w:val="left"/>
            </w:pPr>
            <w:r>
              <w:t xml:space="preserve">Plan-fulness</w:t>
            </w:r>
          </w:p>
        </w:tc>
        <w:tc>
          <w:tcPr/>
          <w:p>
            <w:pPr>
              <w:pStyle w:val="Compact"/>
              <w:jc w:val="left"/>
            </w:pPr>
            <w:r>
              <w:t xml:space="preserve">Has the subject considered practical steps to implement their decision?</w:t>
            </w:r>
          </w:p>
        </w:tc>
      </w:tr>
      <w:tr>
        <w:tc>
          <w:tcPr/>
          <w:p>
            <w:pPr>
              <w:pStyle w:val="Compact"/>
              <w:jc w:val="left"/>
            </w:pPr>
            <w:r>
              <w:t xml:space="preserve">IA3</w:t>
            </w:r>
          </w:p>
        </w:tc>
        <w:tc>
          <w:tcPr/>
          <w:p>
            <w:pPr>
              <w:pStyle w:val="Compact"/>
              <w:jc w:val="left"/>
            </w:pPr>
            <w:r>
              <w:t xml:space="preserve">Follow-through Feasibility</w:t>
            </w:r>
          </w:p>
        </w:tc>
        <w:tc>
          <w:tcPr/>
          <w:p>
            <w:pPr>
              <w:pStyle w:val="Compact"/>
              <w:jc w:val="left"/>
            </w:pPr>
            <w:r>
              <w:t xml:space="preserve">Is the subject’s plan realistic and feasible?</w:t>
            </w:r>
          </w:p>
        </w:tc>
      </w:tr>
      <w:tr>
        <w:tc>
          <w:tcPr/>
          <w:p>
            <w:pPr>
              <w:pStyle w:val="Compact"/>
              <w:jc w:val="left"/>
            </w:pPr>
            <w:r>
              <w:t xml:space="preserve">ECI</w:t>
            </w:r>
          </w:p>
        </w:tc>
        <w:tc>
          <w:tcPr/>
          <w:p>
            <w:pPr>
              <w:pStyle w:val="Compact"/>
              <w:jc w:val="left"/>
            </w:pPr>
            <w:r>
              <w:t xml:space="preserve">External Constraint Index</w:t>
            </w:r>
          </w:p>
        </w:tc>
        <w:tc>
          <w:tcPr/>
          <w:p>
            <w:pPr>
              <w:pStyle w:val="Compact"/>
              <w:jc w:val="left"/>
            </w:pPr>
            <w:r>
              <w:t xml:space="preserve">Score from 0 to 100 representing external constraints on autonomy, provided to the subject in the vignette. 0 = no external constraints on the patient’s autonomy; 50 = moderate external constraints that partially limit autonomous decision-making; 100 = severe external constraints that fully override autonomous decision-making.</w:t>
            </w:r>
          </w:p>
        </w:tc>
      </w:tr>
      <w:tr>
        <w:tc>
          <w:tcPr/>
          <w:p>
            <w:pPr>
              <w:pStyle w:val="Compact"/>
              <w:jc w:val="left"/>
            </w:pPr>
            <w:r>
              <w:t xml:space="preserve">SPI</w:t>
            </w:r>
          </w:p>
        </w:tc>
        <w:tc>
          <w:tcPr/>
          <w:p>
            <w:pPr>
              <w:pStyle w:val="Compact"/>
              <w:jc w:val="left"/>
            </w:pPr>
            <w:r>
              <w:t xml:space="preserve">Support Provided Index</w:t>
            </w:r>
          </w:p>
        </w:tc>
        <w:tc>
          <w:tcPr/>
          <w:p>
            <w:pPr>
              <w:pStyle w:val="Compact"/>
              <w:jc w:val="left"/>
            </w:pPr>
            <w:r>
              <w:t xml:space="preserve">Score from 0 to 100 representing support provided to the subject in the vignette. 0 = no support provided to the patient in the decision- making process; 50 = moderate support that partially facilitates autonomous decision- making; 100 = comprehensive support that fully facilitates autonomous decision-making.</w:t>
            </w:r>
          </w:p>
        </w:tc>
      </w:tr>
    </w:tbl>
    <w:p>
      <w:pPr>
        <w:pStyle w:val="BodyText"/>
      </w:pPr>
      <w:r>
        <w:t xml:space="preserve">Values Awareness carries four items and a maximum raw score of 16; Factual Understanding, Rational Deliberation, and Intentional Action carry three items each and a maximum raw score of 12. ECI and SPI are entered directly on a 0 to 100 scale.</w:t>
      </w:r>
    </w:p>
    <w:bookmarkEnd w:id="41"/>
    <w:bookmarkStart w:id="42" w:name="response-scale-and-missing-data"/>
    <w:p>
      <w:pPr>
        <w:pStyle w:val="Heading3"/>
      </w:pPr>
      <w:r>
        <w:rPr>
          <w:bCs/>
          <w:b/>
        </w:rPr>
        <w:t xml:space="preserve">3.5 Response scale and missing data</w:t>
      </w:r>
    </w:p>
    <w:p>
      <w:pPr>
        <w:pStyle w:val="FirstParagraph"/>
      </w:pPr>
      <w:r>
        <w:rPr>
          <w:bCs/>
          <w:b/>
        </w:rPr>
        <w:t xml:space="preserve">Domain items.</w:t>
      </w:r>
      <w:r>
        <w:t xml:space="preserve"> All thirteen domain items use a common five-point ordinal scale:</w:t>
      </w:r>
    </w:p>
    <w:p>
      <w:pPr>
        <w:numPr>
          <w:ilvl w:val="0"/>
          <w:numId w:val="1003"/>
        </w:numPr>
      </w:pPr>
      <w:r>
        <w:t xml:space="preserve">0 — not at all, or absent</w:t>
      </w:r>
    </w:p>
    <w:p>
      <w:pPr>
        <w:numPr>
          <w:ilvl w:val="0"/>
          <w:numId w:val="1003"/>
        </w:numPr>
      </w:pPr>
      <w:r>
        <w:t xml:space="preserve">1 — minimal</w:t>
      </w:r>
    </w:p>
    <w:p>
      <w:pPr>
        <w:numPr>
          <w:ilvl w:val="0"/>
          <w:numId w:val="1003"/>
        </w:numPr>
      </w:pPr>
      <w:r>
        <w:t xml:space="preserve">2 — moderate</w:t>
      </w:r>
    </w:p>
    <w:p>
      <w:pPr>
        <w:numPr>
          <w:ilvl w:val="0"/>
          <w:numId w:val="1003"/>
        </w:numPr>
      </w:pPr>
      <w:r>
        <w:t xml:space="preserve">3 — high</w:t>
      </w:r>
    </w:p>
    <w:p>
      <w:pPr>
        <w:numPr>
          <w:ilvl w:val="0"/>
          <w:numId w:val="1003"/>
        </w:numPr>
      </w:pPr>
      <w:r>
        <w:t xml:space="preserve">4 — very high, or fully present</w:t>
      </w:r>
    </w:p>
    <w:p>
      <w:pPr>
        <w:numPr>
          <w:ilvl w:val="0"/>
          <w:numId w:val="1003"/>
        </w:numPr>
      </w:pPr>
      <w:r>
        <w:t xml:space="preserve">N/A – Not Applicable</w:t>
      </w:r>
    </w:p>
    <w:p>
      <w:pPr>
        <w:pStyle w:val="FirstParagraph"/>
      </w:pPr>
      <w:r>
        <w:t xml:space="preserve">Anchors are generic across items rather than item-specific. This keeps the instrument short enough for a reviewer to complete multiple cases in one sitting and keeps the human and model prompts identical, at the cost of placing more weight on rater interpretation than an item-specific rubric would. The consequence is examined in section 6.1: any item showing markedly lower agreement than its domain peers is a candidate for item-specific anchoring in a revised version.</w:t>
      </w:r>
    </w:p>
    <w:p>
      <w:pPr>
        <w:pStyle w:val="BodyText"/>
      </w:pPr>
      <w:r>
        <w:rPr>
          <w:bCs/>
          <w:b/>
        </w:rPr>
        <w:t xml:space="preserve">Not enough information.</w:t>
      </w:r>
      <w:r>
        <w:t xml:space="preserve"> Every item permits an additional response, N/A, defined as insufficient information in the vignette to render a judgment. N/A is a substantive response, not a skip. It is distinguished in the instrument from a score of 0, which asserts that the attribute is absent; N/A asserts that the attribute is unobservable in the material supplied. Collapsing the two would systematically depress scores on vignettes that are simply terse, and would confound stimulus brevity with subject impairment.</w:t>
      </w:r>
    </w:p>
    <w:p>
      <w:pPr>
        <w:pStyle w:val="BodyText"/>
      </w:pPr>
      <w:r>
        <w:rPr>
          <w:bCs/>
          <w:b/>
        </w:rPr>
        <w:t xml:space="preserve">Exclusion rule.</w:t>
      </w:r>
      <w:r>
        <w:t xml:space="preserve"> A domain is treated as not scored, and the composite is not computed for that rating, when fewer than two items are answered in a three-item domain, or fewer than three items are answered in the four-item Values Awareness domain. The rationale is given with the proration formula in section 4.1.</w:t>
      </w:r>
    </w:p>
    <w:p>
      <w:pPr>
        <w:pStyle w:val="BodyText"/>
      </w:pPr>
      <w:r>
        <w:t xml:space="preserve">N/A rates are reported by item, domain, rating source, and vignette. Two patterns are examined rather than treated as nuisance. Elevated N/A across raters on a given vignette indicates an underspecified stimulus rather than a low-autonomy subject. Systematic differences in N/A rate between human and model ratings indicate divergent thresholds for what counts as sufficient evidence, which is a substantive finding about model behavior and is reported alongside the score comparisons.</w:t>
      </w:r>
    </w:p>
    <w:p>
      <w:pPr>
        <w:pStyle w:val="BodyText"/>
      </w:pPr>
      <w:r>
        <w:rPr>
          <w:bCs/>
          <w:b/>
        </w:rPr>
        <w:t xml:space="preserve">Contextual modifiers.</w:t>
      </w:r>
      <w:r>
        <w:t xml:space="preserve"> ECI and SPI are entered as continuous values on a 0 to 100 scale and also permit N/A. Both carry plain-language anchors at three points, presented with the item text and reproduced in Table 2: for ECI, no external constraints (0), moderate constraints that partially limit autonomous decision-making (50), and severe constraints that fully override autonomous decision-making (100); for SPI, no support provided in the decision-making process (0), moderate support that partially facilitates autonomous decision-making (50), and comprehensive support that fully facilitates autonomous decision-making (100). The response control was a slider with tick marks at intervals of ten across the full range.</w:t>
      </w:r>
    </w:p>
    <w:bookmarkEnd w:id="42"/>
    <w:bookmarkEnd w:id="43"/>
    <w:bookmarkStart w:id="52" w:name="scoring-and-aggregation"/>
    <w:p>
      <w:pPr>
        <w:pStyle w:val="Heading2"/>
      </w:pPr>
      <w:r>
        <w:rPr>
          <w:bCs/>
          <w:b/>
        </w:rPr>
        <w:t xml:space="preserve">4 Scoring and aggregation</w:t>
      </w:r>
    </w:p>
    <w:p>
      <w:pPr>
        <w:pStyle w:val="FirstParagraph"/>
      </w:pPr>
      <w:r>
        <w:t xml:space="preserve">This section defines, in order, how a single rating becomes a set of domain scores (4.1), how multiple ratings of the same vignette are combined (4.2), how domain scores become a composite (4.3), and why the contextual modifiers are excluded from it (4.4). All quantities used in the analysis of section 6 are defined here. Figure 2 shows the full measurement structure.</w:t>
      </w:r>
    </w:p>
    <w:p>
      <w:pPr>
        <w:pStyle w:val="BodyText"/>
      </w:pPr>
      <w:r>
        <w:drawing>
          <wp:inline>
            <wp:extent cx="4457700" cy="5400675"/>
            <wp:effectExtent b="0" l="0" r="0" t="0"/>
            <wp:docPr descr="" title="" id="45" name="Picture"/>
            <a:graphic>
              <a:graphicData uri="http://schemas.openxmlformats.org/drawingml/2006/picture">
                <pic:pic>
                  <pic:nvPicPr>
                    <pic:cNvPr descr="./media/media/image3.png" id="46" name="Picture"/>
                    <pic:cNvPicPr>
                      <a:picLocks noChangeArrowheads="1" noChangeAspect="1"/>
                    </pic:cNvPicPr>
                  </pic:nvPicPr>
                  <pic:blipFill>
                    <a:blip r:embed="rId44"/>
                    <a:stretch>
                      <a:fillRect/>
                    </a:stretch>
                  </pic:blipFill>
                  <pic:spPr bwMode="auto">
                    <a:xfrm>
                      <a:off x="0" y="0"/>
                      <a:ext cx="4457700" cy="5400675"/>
                    </a:xfrm>
                    <a:prstGeom prst="rect">
                      <a:avLst/>
                    </a:prstGeom>
                    <a:noFill/>
                    <a:ln w="9525">
                      <a:noFill/>
                      <a:headEnd/>
                      <a:tailEnd/>
                    </a:ln>
                  </pic:spPr>
                </pic:pic>
              </a:graphicData>
            </a:graphic>
          </wp:inline>
        </w:drawing>
      </w:r>
    </w:p>
    <w:p>
      <w:pPr>
        <w:pStyle w:val="BodyText"/>
      </w:pPr>
      <w:r>
        <w:t xml:space="preserve">Figure 2. Measurement structure of the Autonomy Index. A clinical vignette is rated on thirteen domain items across four domains (teal) and on two contextual modifiers (amber). Domain scores are normalized to 0–100 with proration over answered items, pooled across raters at the item level, and combined by equal weighting into a composite (purple). The External Constraint Index and Support Provided Index are scored from the same vignette but bypass the composite and are reported alongside it, so that structural disadvantage is documented rather than recorded as diminished autonomy. The composite is mapped to one of three interpretive bands, which are reporting aids rather than decision rules.</w:t>
      </w:r>
    </w:p>
    <w:bookmarkStart w:id="47" w:name="normalization-within-a-rating"/>
    <w:p>
      <w:pPr>
        <w:pStyle w:val="Heading3"/>
      </w:pPr>
      <w:r>
        <w:rPr>
          <w:bCs/>
          <w:b/>
        </w:rPr>
        <w:t xml:space="preserve">4.1 Normalization within a rating</w:t>
      </w:r>
    </w:p>
    <w:p>
      <w:pPr>
        <w:pStyle w:val="FirstParagraph"/>
      </w:pPr>
      <w:r>
        <w:t xml:space="preserve">Each domain is rescaled to a common 0 to 100 metric so that domains with different item counts are comparable and the composite is interpretable on a single scale. For domain d in a single rating, let A_d be the set of items answered on the 0 to 4 scale and x_i the score on item i:</w:t>
      </w:r>
    </w:p>
    <w:p>
      <w:pPr>
        <w:pStyle w:val="BodyText"/>
      </w:pPr>
      <w:r>
        <w:rPr>
          <w:iCs/>
          <w:i/>
        </w:rPr>
        <w:t xml:space="preserve">Score_d = [ Σ_i∈A_d x_i ⁄ (4 · |A_d|) ] × 100</w:t>
      </w:r>
    </w:p>
    <w:p>
      <w:pPr>
        <w:pStyle w:val="BodyText"/>
      </w:pPr>
      <w:r>
        <w:t xml:space="preserve">Where all items are answered this reduces to the raw total divided by 16 for Values Awareness and by 12 for the other three domains, times 100. Rescaling is linear and preserves rank order within domain. Proration assumes the answered items are representative of the domain, which is defensible when one item is missing and progressively less so beyond that; the exclusion rule in section 3.5 follows from this.</w:t>
      </w:r>
    </w:p>
    <w:bookmarkEnd w:id="47"/>
    <w:bookmarkStart w:id="48" w:name="Xbedc8e21aaae0501f44ec8123a68bd8c34aab68"/>
    <w:p>
      <w:pPr>
        <w:pStyle w:val="Heading3"/>
      </w:pPr>
      <w:r>
        <w:rPr>
          <w:bCs/>
          <w:b/>
        </w:rPr>
        <w:t xml:space="preserve">4.2 Aggregation across raters: primary estimator</w:t>
      </w:r>
    </w:p>
    <w:p>
      <w:pPr>
        <w:pStyle w:val="FirstParagraph"/>
      </w:pPr>
      <w:r>
        <w:t xml:space="preserve">Each vignette in the comparison set receives between three and five independent human ratings (section 3.1). These are not repeated measures on a changing subject; they are exchangeable observations of a fixed case. Aggregation therefore pools rather than updates in the temporal sense, and no discount is applied to earlier ratings.</w:t>
      </w:r>
    </w:p>
    <w:p>
      <w:pPr>
        <w:pStyle w:val="BodyText"/>
      </w:pPr>
      <w:r>
        <w:rPr>
          <w:bCs/>
          <w:b/>
        </w:rPr>
        <w:t xml:space="preserve">The primary estimator is item-level prorated pooling.</w:t>
      </w:r>
      <w:r>
        <w:t xml:space="preserve"> Aggregation is performed on raw item scores rather than on rater-level domain scores. For domain d with raters r = 1 … n, let A_dr be the set of items rater r answered on the 0 to 4 scale:</w:t>
      </w:r>
    </w:p>
    <w:p>
      <w:pPr>
        <w:pStyle w:val="BodyText"/>
      </w:pPr>
      <w:r>
        <w:rPr>
          <w:iCs/>
          <w:i/>
        </w:rPr>
        <w:t xml:space="preserve">Score_d = [ Σ_r Σ_i∈A_dr x_dri ⁄ (4 · Σ_r |A_dr|) ] × 100</w:t>
      </w:r>
    </w:p>
    <w:p>
      <w:pPr>
        <w:pStyle w:val="BodyText"/>
      </w:pPr>
      <w:r>
        <w:t xml:space="preserve">Item-level pooling is preferred to averaging rater-level domain scores because the two diverge whenever raters differ in which items they marked N/A. Averaging rater-level scores gives each rater equal weight regardless of how much of the instrument they completed; item-level pooling weights each rater by the evidence actually supplied. This estimator produces every human-rating value reported in the results.</w:t>
      </w:r>
    </w:p>
    <w:p>
      <w:pPr>
        <w:pStyle w:val="BodyText"/>
      </w:pPr>
      <w:r>
        <w:t xml:space="preserve">Model ratings are aggregated by the same procedure, pooling over the ten runs per model per vignette at the item level. Using one aggregation rule throughout ensures that human–model differences are not partly an artifact of different pooling.</w:t>
      </w:r>
    </w:p>
    <w:bookmarkEnd w:id="48"/>
    <w:bookmarkStart w:id="49" w:name="sensitivity-beta-binomial-pooling"/>
    <w:bookmarkEnd w:id="49"/>
    <w:bookmarkStart w:id="50" w:name="composite"/>
    <w:p>
      <w:pPr>
        <w:pStyle w:val="Heading3"/>
      </w:pPr>
      <w:r>
        <w:rPr>
          <w:bCs/>
          <w:b/>
        </w:rPr>
        <w:t xml:space="preserve">4.3 Composite</w:t>
      </w:r>
    </w:p>
    <w:p>
      <w:pPr>
        <w:pStyle w:val="FirstParagraph"/>
      </w:pPr>
      <w:r>
        <w:t xml:space="preserve">The composite is a weighted linear combination of the four aggregated domain scores:</w:t>
      </w:r>
    </w:p>
    <w:p>
      <w:pPr>
        <w:pStyle w:val="BodyText"/>
      </w:pPr>
      <w:r>
        <w:rPr>
          <w:iCs/>
          <w:i/>
        </w:rPr>
        <w:t xml:space="preserve">AI = w₁(VA) + w₂(FU) + w₃(RD) + w₄(IA), Σⱼ wⱼ = 1</w:t>
      </w:r>
    </w:p>
    <w:p>
      <w:pPr>
        <w:pStyle w:val="BodyText"/>
      </w:pPr>
      <w:r>
        <w:t xml:space="preserve">The default is equal weighting, all wⱼ = 0.25, reflecting the conceptual interdependence of the four domains: none is sufficient alone and none is dispensable. Task-specific reweighting is permitted but must be specified in advance. Plausible examples include elevating the Factual Understanding weight when evaluating high-risk informed consent, or elevating Rational Deliberation when reasoning quality is the object of interest. Any reweighted result is reported alongside the equal-weighted composite so that findings remain comparable across studies.</w:t>
      </w:r>
    </w:p>
    <w:p>
      <w:pPr>
        <w:pStyle w:val="BodyText"/>
      </w:pPr>
      <w:r>
        <w:t xml:space="preserve">The robustness of the equal-weight default is bounded directly by the domain results. Because the composite is a convex combination of the four domain scores, the human–model difference under any admissible weighting is a weighted average of the four domain differences reported in section 8.4 and therefore lies between 7.9 and 13.7 index points; no reweighting can move it outside that interval or reverse its sign. The rank correlation between reweighted and equal-weighted orderings across vignettes is not reported here and remains to be run.</w:t>
      </w:r>
    </w:p>
    <w:bookmarkEnd w:id="50"/>
    <w:bookmarkStart w:id="51" w:name="Xfe31a7ef12e58c0afc6774ae68bf844a2791946"/>
    <w:p>
      <w:pPr>
        <w:pStyle w:val="Heading3"/>
      </w:pPr>
      <w:r>
        <w:rPr>
          <w:bCs/>
          <w:b/>
        </w:rPr>
        <w:t xml:space="preserve">4.4 Contextual modifiers as reported quantities</w:t>
      </w:r>
    </w:p>
    <w:p>
      <w:pPr>
        <w:pStyle w:val="FirstParagraph"/>
      </w:pPr>
      <w:r>
        <w:t xml:space="preserve">ECI and SPI are reported with every composite and never subtracted from it. Folding them into the score would convert structural disadvantage into diminished measured autonomy, which is precisely the error the framework is built to avoid, and would destroy their utility for the equity analyses they are intended to support.</w:t>
      </w:r>
    </w:p>
    <w:p>
      <w:pPr>
        <w:pStyle w:val="BodyText"/>
      </w:pPr>
      <w:r>
        <w:t xml:space="preserve">Their function is diagnostic of the environment rather than of the person. The principal interpretive flag is triggered by a low Intentional Action score accompanied by high ECI or low SPI, and is worded to indicate that autonomy may be intact but externally constrained, and that the indicated response is a change to the setting rather than a conclusion about the individual.</w:t>
      </w:r>
    </w:p>
    <w:p>
      <w:pPr>
        <w:pStyle w:val="BodyText"/>
      </w:pPr>
      <w:r>
        <w:t xml:space="preserve">Because the indices are recorded separately, their association with the composite is estimable rather than assumed. The relationship of ECI and SPI to Autonomy Index scores is reported as a primary descriptive result.</w:t>
      </w:r>
    </w:p>
    <w:bookmarkEnd w:id="51"/>
    <w:bookmarkEnd w:id="52"/>
    <w:bookmarkStart w:id="55" w:name="data-collection"/>
    <w:p>
      <w:pPr>
        <w:pStyle w:val="Heading2"/>
      </w:pPr>
      <w:r>
        <w:rPr>
          <w:bCs/>
          <w:b/>
        </w:rPr>
        <w:t xml:space="preserve">5 Data collection</w:t>
      </w:r>
    </w:p>
    <w:bookmarkStart w:id="53" w:name="human-raters"/>
    <w:p>
      <w:pPr>
        <w:pStyle w:val="Heading3"/>
      </w:pPr>
      <w:r>
        <w:rPr>
          <w:bCs/>
          <w:b/>
        </w:rPr>
        <w:t xml:space="preserve">5.1 Human raters</w:t>
      </w:r>
    </w:p>
    <w:p>
      <w:pPr>
        <w:pStyle w:val="FirstParagraph"/>
      </w:pPr>
      <w:r>
        <w:t xml:space="preserve">Reviewers were bioethics-trained participants recruited under IRB26-0146. Each accessed a password-protected web platform, reviewed the electronic consent form, and affirmed consent via an explicit checkbox before any study content was displayed. Participants who did not affirm consent could not proceed.</w:t>
      </w:r>
    </w:p>
    <w:p>
      <w:pPr>
        <w:pStyle w:val="BodyText"/>
      </w:pPr>
      <w:r>
        <w:t xml:space="preserve">Each reviewer was presented with vignettes one at a time and scored all thirteen items plus ECI and SPI for each. Reviewers were not shown other reviewers’ responses and were not shown any model output at any point.</w:t>
      </w:r>
    </w:p>
    <w:p>
      <w:pPr>
        <w:pStyle w:val="BodyText"/>
      </w:pPr>
      <w:r>
        <w:rPr>
          <w:bCs/>
          <w:b/>
        </w:rPr>
        <w:t xml:space="preserve">Presentation order.</w:t>
      </w:r>
      <w:r>
        <w:t xml:space="preserve"> Vignettes were presented in the sequence produced by the round-robin allocation rather than being independently randomized within each reviewer’s block. Because the rotation places a given vignette at different positions in different reviewers’ blocks, presentation position is not confounded with vignette identity, and a position effect is estimable. Whether scores vary with position within block, which would indicate fatigue or drift across a rating session, is examined and reported.</w:t>
      </w:r>
    </w:p>
    <w:p>
      <w:pPr>
        <w:pStyle w:val="BodyText"/>
      </w:pPr>
      <w:r>
        <w:rPr>
          <w:bCs/>
          <w:b/>
        </w:rPr>
        <w:t xml:space="preserve">Disclosure at consent.</w:t>
      </w:r>
      <w:r>
        <w:t xml:space="preserve"> The consent materials stated that the study would compare human ratings with ratings produced by large language models. Reviewers therefore knew the purpose of the comparison, though not which models were used, what those models had scored, or how their own ratings compared. This is a deliberate transparency choice rather than an oversight, and its consequence for interpretation is stated in section 10.</w:t>
      </w:r>
    </w:p>
    <w:p>
      <w:pPr>
        <w:pStyle w:val="BodyText"/>
      </w:pPr>
      <w:r>
        <w:t xml:space="preserve">Response data are stored in an encrypted database with no linkage to participant identifiers. Email addresses collected for access control are held in a separate access-controlled table and deleted within 30 days of study completion.</w:t>
      </w:r>
    </w:p>
    <w:p>
      <w:pPr>
        <w:pStyle w:val="BodyText"/>
      </w:pPr>
      <w:r>
        <w:rPr>
          <w:bCs/>
          <w:b/>
        </w:rPr>
        <w:t xml:space="preserve">Recruitment.</w:t>
      </w:r>
      <w:r>
        <w:t xml:space="preserve"> Reviewers were recruited through direct invitation from the study’s faculty co-investigator, through bioethics interest groups and listservs, through Harvard Medical School and Master of Bioethics program newsletters, and through colleague referral. Forty-six individuals registered interest, and all were granted access to the study platform; there was no second selection step between registration and access. Referral source was recorded at registration and is reported in Table 4.</w:t>
      </w:r>
    </w:p>
    <w:p>
      <w:pPr>
        <w:pStyle w:val="BodyText"/>
      </w:pPr>
      <w:r>
        <w:t xml:space="preserve">Recruitment was not a probability sample of any defined population. It was a convenience sample of individuals with bioethics or clinical ethics training who responded to invitation, and the reference standard should be read accordingly (section 10).</w:t>
      </w:r>
    </w:p>
    <w:p>
      <w:pPr>
        <w:pStyle w:val="BodyText"/>
      </w:pPr>
      <w:r>
        <w:rPr>
          <w:bCs/>
          <w:b/>
        </w:rPr>
        <w:t xml:space="preserve">Table 3. Reviewer recruitment, access, and participation.</w:t>
      </w:r>
    </w:p>
    <w:tbl>
      <w:tblPr>
        <w:tblStyle w:val="Table"/>
        <w:tblW w:type="pct" w:w="5000"/>
        <w:tblLook w:firstRow="1" w:lastRow="0" w:firstColumn="0" w:lastColumn="0" w:noHBand="0" w:noVBand="0" w:val="0020"/>
        <w:jc w:val="start"/>
      </w:tblPr>
      <w:tblGrid>
        <w:gridCol w:w="5458"/>
        <w:gridCol w:w="2461"/>
      </w:tblGrid>
      <w:tr>
        <w:trPr>
          <w:tblHeader w:val="true"/>
        </w:trPr>
        <w:tc>
          <w:tcPr/>
          <w:p>
            <w:pPr>
              <w:pStyle w:val="Compact"/>
              <w:jc w:val="left"/>
            </w:pPr>
            <w:r>
              <w:rPr>
                <w:bCs/>
                <w:b/>
              </w:rPr>
              <w:t xml:space="preserve">Metric</w:t>
            </w:r>
          </w:p>
        </w:tc>
        <w:tc>
          <w:tcPr/>
          <w:p>
            <w:pPr>
              <w:pStyle w:val="Compact"/>
              <w:jc w:val="left"/>
            </w:pPr>
            <w:r>
              <w:rPr>
                <w:bCs/>
                <w:b/>
              </w:rPr>
              <w:t xml:space="preserve">Value</w:t>
            </w:r>
          </w:p>
        </w:tc>
      </w:tr>
      <w:tr>
        <w:tc>
          <w:tcPr/>
          <w:p>
            <w:pPr>
              <w:pStyle w:val="Compact"/>
              <w:jc w:val="left"/>
            </w:pPr>
            <w:r>
              <w:rPr>
                <w:bCs/>
                <w:b/>
              </w:rPr>
              <w:t xml:space="preserve">Recruitment and access</w:t>
            </w:r>
          </w:p>
        </w:tc>
        <w:tc>
          <w:tcPr/>
          <w:p>
            <w:pPr>
              <w:pStyle w:val="Compact"/>
            </w:pPr>
          </w:p>
        </w:tc>
      </w:tr>
      <w:tr>
        <w:tc>
          <w:tcPr/>
          <w:p>
            <w:pPr>
              <w:pStyle w:val="Compact"/>
              <w:jc w:val="left"/>
            </w:pPr>
            <w:r>
              <w:t xml:space="preserve">Registrations of interest received</w:t>
            </w:r>
          </w:p>
        </w:tc>
        <w:tc>
          <w:tcPr/>
          <w:p>
            <w:pPr>
              <w:pStyle w:val="Compact"/>
              <w:jc w:val="left"/>
            </w:pPr>
            <w:r>
              <w:t xml:space="preserve">46</w:t>
            </w:r>
          </w:p>
        </w:tc>
      </w:tr>
      <w:tr>
        <w:tc>
          <w:tcPr/>
          <w:p>
            <w:pPr>
              <w:pStyle w:val="Compact"/>
              <w:jc w:val="left"/>
            </w:pPr>
            <w:r>
              <w:t xml:space="preserve">Registrants granted access to the study platform</w:t>
            </w:r>
          </w:p>
        </w:tc>
        <w:tc>
          <w:tcPr/>
          <w:p>
            <w:pPr>
              <w:pStyle w:val="Compact"/>
              <w:jc w:val="left"/>
            </w:pPr>
            <w:r>
              <w:t xml:space="preserve">46 (all)</w:t>
            </w:r>
          </w:p>
        </w:tc>
      </w:tr>
      <w:tr>
        <w:tc>
          <w:tcPr/>
          <w:p>
            <w:pPr>
              <w:pStyle w:val="Compact"/>
              <w:jc w:val="left"/>
            </w:pPr>
            <w:r>
              <w:t xml:space="preserve">Withdrew before assignment (time constraints)</w:t>
            </w:r>
          </w:p>
        </w:tc>
        <w:tc>
          <w:tcPr/>
          <w:p>
            <w:pPr>
              <w:pStyle w:val="Compact"/>
              <w:jc w:val="left"/>
            </w:pPr>
            <w:r>
              <w:t xml:space="preserve">1</w:t>
            </w:r>
          </w:p>
        </w:tc>
      </w:tr>
      <w:tr>
        <w:tc>
          <w:tcPr/>
          <w:p>
            <w:pPr>
              <w:pStyle w:val="Compact"/>
              <w:jc w:val="left"/>
            </w:pPr>
            <w:r>
              <w:t xml:space="preserve">Reviewers assigned vignette blocks</w:t>
            </w:r>
          </w:p>
        </w:tc>
        <w:tc>
          <w:tcPr/>
          <w:p>
            <w:pPr>
              <w:pStyle w:val="Compact"/>
              <w:jc w:val="left"/>
            </w:pPr>
            <w:r>
              <w:t xml:space="preserve">45</w:t>
            </w:r>
          </w:p>
        </w:tc>
      </w:tr>
      <w:tr>
        <w:tc>
          <w:tcPr/>
          <w:p>
            <w:pPr>
              <w:pStyle w:val="Compact"/>
              <w:jc w:val="left"/>
            </w:pPr>
            <w:r>
              <w:rPr>
                <w:bCs/>
                <w:b/>
              </w:rPr>
              <w:t xml:space="preserve">Participation</w:t>
            </w:r>
          </w:p>
        </w:tc>
        <w:tc>
          <w:tcPr/>
          <w:p>
            <w:pPr>
              <w:pStyle w:val="Compact"/>
            </w:pPr>
          </w:p>
        </w:tc>
      </w:tr>
      <w:tr>
        <w:tc>
          <w:tcPr/>
          <w:p>
            <w:pPr>
              <w:pStyle w:val="Compact"/>
              <w:jc w:val="left"/>
            </w:pPr>
            <w:r>
              <w:t xml:space="preserve">Reviewers submitting at least one rating</w:t>
            </w:r>
          </w:p>
        </w:tc>
        <w:tc>
          <w:tcPr/>
          <w:p>
            <w:pPr>
              <w:pStyle w:val="Compact"/>
              <w:jc w:val="left"/>
            </w:pPr>
            <w:r>
              <w:t xml:space="preserve">30 of 45 (66.7%)</w:t>
            </w:r>
          </w:p>
        </w:tc>
      </w:tr>
      <w:tr>
        <w:tc>
          <w:tcPr/>
          <w:p>
            <w:pPr>
              <w:pStyle w:val="Compact"/>
              <w:jc w:val="left"/>
            </w:pPr>
            <w:r>
              <w:t xml:space="preserve">Reviewers submitting three or more ratings</w:t>
            </w:r>
          </w:p>
        </w:tc>
        <w:tc>
          <w:tcPr/>
          <w:p>
            <w:pPr>
              <w:pStyle w:val="Compact"/>
              <w:jc w:val="left"/>
            </w:pPr>
            <w:r>
              <w:t xml:space="preserve">26 of 45 (57.8%)</w:t>
            </w:r>
          </w:p>
        </w:tc>
      </w:tr>
      <w:tr>
        <w:tc>
          <w:tcPr/>
          <w:p>
            <w:pPr>
              <w:pStyle w:val="Compact"/>
              <w:jc w:val="left"/>
            </w:pPr>
            <w:r>
              <w:t xml:space="preserve">Reviewers assigned but submitting no ratings</w:t>
            </w:r>
          </w:p>
        </w:tc>
        <w:tc>
          <w:tcPr/>
          <w:p>
            <w:pPr>
              <w:pStyle w:val="Compact"/>
              <w:jc w:val="left"/>
            </w:pPr>
            <w:r>
              <w:t xml:space="preserve">15 of 45 (33.3%)</w:t>
            </w:r>
          </w:p>
        </w:tc>
      </w:tr>
      <w:tr>
        <w:tc>
          <w:tcPr/>
          <w:p>
            <w:pPr>
              <w:pStyle w:val="Compact"/>
              <w:jc w:val="left"/>
            </w:pPr>
            <w:r>
              <w:rPr>
                <w:bCs/>
                <w:b/>
              </w:rPr>
              <w:t xml:space="preserve">Ratings</w:t>
            </w:r>
          </w:p>
        </w:tc>
        <w:tc>
          <w:tcPr/>
          <w:p>
            <w:pPr>
              <w:pStyle w:val="Compact"/>
            </w:pPr>
          </w:p>
        </w:tc>
      </w:tr>
      <w:tr>
        <w:tc>
          <w:tcPr/>
          <w:p>
            <w:pPr>
              <w:pStyle w:val="Compact"/>
              <w:jc w:val="left"/>
            </w:pPr>
            <w:r>
              <w:t xml:space="preserve">Assignment slots issued</w:t>
            </w:r>
          </w:p>
        </w:tc>
        <w:tc>
          <w:tcPr/>
          <w:p>
            <w:pPr>
              <w:pStyle w:val="Compact"/>
              <w:jc w:val="left"/>
            </w:pPr>
            <w:r>
              <w:t xml:space="preserve">275</w:t>
            </w:r>
          </w:p>
        </w:tc>
      </w:tr>
      <w:tr>
        <w:tc>
          <w:tcPr/>
          <w:p>
            <w:pPr>
              <w:pStyle w:val="Compact"/>
              <w:jc w:val="left"/>
            </w:pPr>
            <w:r>
              <w:t xml:space="preserve">Ratings submitted at analysis freeze</w:t>
            </w:r>
          </w:p>
        </w:tc>
        <w:tc>
          <w:tcPr/>
          <w:p>
            <w:pPr>
              <w:pStyle w:val="Compact"/>
              <w:jc w:val="left"/>
            </w:pPr>
            <w:r>
              <w:t xml:space="preserve">175</w:t>
            </w:r>
          </w:p>
        </w:tc>
      </w:tr>
      <w:tr>
        <w:tc>
          <w:tcPr/>
          <w:p>
            <w:pPr>
              <w:pStyle w:val="Compact"/>
              <w:jc w:val="left"/>
            </w:pPr>
            <w:r>
              <w:t xml:space="preserve">Ratings analyzed after completeness exclusions</w:t>
            </w:r>
          </w:p>
        </w:tc>
        <w:tc>
          <w:tcPr/>
          <w:p>
            <w:pPr>
              <w:pStyle w:val="Compact"/>
              <w:jc w:val="left"/>
            </w:pPr>
            <w:r>
              <w:t xml:space="preserve">173</w:t>
            </w:r>
          </w:p>
        </w:tc>
      </w:tr>
      <w:tr>
        <w:tc>
          <w:tcPr/>
          <w:p>
            <w:pPr>
              <w:pStyle w:val="Compact"/>
              <w:jc w:val="left"/>
            </w:pPr>
            <w:r>
              <w:t xml:space="preserve">Ratings completed per slot issued</w:t>
            </w:r>
          </w:p>
        </w:tc>
        <w:tc>
          <w:tcPr/>
          <w:p>
            <w:pPr>
              <w:pStyle w:val="Compact"/>
              <w:jc w:val="left"/>
            </w:pPr>
            <w:r>
              <w:t xml:space="preserve">63.6%</w:t>
            </w:r>
          </w:p>
        </w:tc>
      </w:tr>
      <w:tr>
        <w:tc>
          <w:tcPr/>
          <w:p>
            <w:pPr>
              <w:pStyle w:val="Compact"/>
              <w:jc w:val="left"/>
            </w:pPr>
            <w:r>
              <w:t xml:space="preserve">Vignettes reaching three or more ratings</w:t>
            </w:r>
          </w:p>
        </w:tc>
        <w:tc>
          <w:tcPr/>
          <w:p>
            <w:pPr>
              <w:pStyle w:val="Compact"/>
              <w:jc w:val="left"/>
            </w:pPr>
            <w:r>
              <w:t xml:space="preserve">43 of 50</w:t>
            </w:r>
          </w:p>
        </w:tc>
      </w:tr>
    </w:tbl>
    <w:p>
      <w:pPr>
        <w:pStyle w:val="BodyText"/>
      </w:pPr>
      <w:r>
        <w:t xml:space="preserve">One of the 46 registrants withdrew before vignette assignment, citing time constraints, and holds no assignment records; 45 reviewers were assigned blocks. No other registrant was excluded, and the participation flow reconciles without residual.</w:t>
      </w:r>
    </w:p>
    <w:p>
      <w:pPr>
        <w:pStyle w:val="BodyText"/>
      </w:pPr>
      <w:r>
        <w:rPr>
          <w:bCs/>
          <w:b/>
        </w:rPr>
        <w:t xml:space="preserve">Table 4. Characteristics of registered reviewers (n = 46).</w:t>
      </w:r>
    </w:p>
    <w:tbl>
      <w:tblPr>
        <w:tblStyle w:val="Table"/>
        <w:tblW w:type="pct" w:w="5000"/>
        <w:tblLook w:firstRow="1" w:lastRow="0" w:firstColumn="0" w:lastColumn="0" w:noHBand="0" w:noVBand="0" w:val="0020"/>
        <w:jc w:val="start"/>
      </w:tblPr>
      <w:tblGrid>
        <w:gridCol w:w="5458"/>
        <w:gridCol w:w="2461"/>
      </w:tblGrid>
      <w:tr>
        <w:trPr>
          <w:tblHeader w:val="true"/>
        </w:trPr>
        <w:tc>
          <w:tcPr/>
          <w:p>
            <w:pPr>
              <w:pStyle w:val="Compact"/>
              <w:jc w:val="left"/>
            </w:pPr>
            <w:r>
              <w:rPr>
                <w:bCs/>
                <w:b/>
              </w:rPr>
              <w:t xml:space="preserve">Metric</w:t>
            </w:r>
          </w:p>
        </w:tc>
        <w:tc>
          <w:tcPr/>
          <w:p>
            <w:pPr>
              <w:pStyle w:val="Compact"/>
              <w:jc w:val="left"/>
            </w:pPr>
            <w:r>
              <w:rPr>
                <w:bCs/>
                <w:b/>
              </w:rPr>
              <w:t xml:space="preserve">Value</w:t>
            </w:r>
          </w:p>
        </w:tc>
      </w:tr>
      <w:tr>
        <w:tc>
          <w:tcPr/>
          <w:p>
            <w:pPr>
              <w:pStyle w:val="Compact"/>
              <w:jc w:val="left"/>
            </w:pPr>
            <w:r>
              <w:rPr>
                <w:bCs/>
                <w:b/>
              </w:rPr>
              <w:t xml:space="preserve">Primary role</w:t>
            </w:r>
          </w:p>
        </w:tc>
        <w:tc>
          <w:tcPr/>
          <w:p>
            <w:pPr>
              <w:pStyle w:val="Compact"/>
            </w:pPr>
          </w:p>
        </w:tc>
      </w:tr>
      <w:tr>
        <w:tc>
          <w:tcPr/>
          <w:p>
            <w:pPr>
              <w:pStyle w:val="Compact"/>
              <w:jc w:val="left"/>
            </w:pPr>
            <w:r>
              <w:t xml:space="preserve">Physician (attending)</w:t>
            </w:r>
          </w:p>
        </w:tc>
        <w:tc>
          <w:tcPr/>
          <w:p>
            <w:pPr>
              <w:pStyle w:val="Compact"/>
              <w:jc w:val="left"/>
            </w:pPr>
            <w:r>
              <w:t xml:space="preserve">23</w:t>
            </w:r>
          </w:p>
        </w:tc>
      </w:tr>
      <w:tr>
        <w:tc>
          <w:tcPr/>
          <w:p>
            <w:pPr>
              <w:pStyle w:val="Compact"/>
              <w:jc w:val="left"/>
            </w:pPr>
            <w:r>
              <w:t xml:space="preserve">Bioethicist or ethics consultant</w:t>
            </w:r>
          </w:p>
        </w:tc>
        <w:tc>
          <w:tcPr/>
          <w:p>
            <w:pPr>
              <w:pStyle w:val="Compact"/>
              <w:jc w:val="left"/>
            </w:pPr>
            <w:r>
              <w:t xml:space="preserve">10</w:t>
            </w:r>
          </w:p>
        </w:tc>
      </w:tr>
      <w:tr>
        <w:tc>
          <w:tcPr/>
          <w:p>
            <w:pPr>
              <w:pStyle w:val="Compact"/>
              <w:jc w:val="left"/>
            </w:pPr>
            <w:r>
              <w:t xml:space="preserve">Master of Bioethics or MS Bioethics student</w:t>
            </w:r>
          </w:p>
        </w:tc>
        <w:tc>
          <w:tcPr/>
          <w:p>
            <w:pPr>
              <w:pStyle w:val="Compact"/>
              <w:jc w:val="left"/>
            </w:pPr>
            <w:r>
              <w:t xml:space="preserve">3</w:t>
            </w:r>
          </w:p>
        </w:tc>
      </w:tr>
      <w:tr>
        <w:tc>
          <w:tcPr/>
          <w:p>
            <w:pPr>
              <w:pStyle w:val="Compact"/>
              <w:jc w:val="left"/>
            </w:pPr>
            <w:r>
              <w:t xml:space="preserve">Healthcare attorney or policy professional</w:t>
            </w:r>
          </w:p>
        </w:tc>
        <w:tc>
          <w:tcPr/>
          <w:p>
            <w:pPr>
              <w:pStyle w:val="Compact"/>
              <w:jc w:val="left"/>
            </w:pPr>
            <w:r>
              <w:t xml:space="preserve">2</w:t>
            </w:r>
          </w:p>
        </w:tc>
      </w:tr>
      <w:tr>
        <w:tc>
          <w:tcPr/>
          <w:p>
            <w:pPr>
              <w:pStyle w:val="Compact"/>
              <w:jc w:val="left"/>
            </w:pPr>
            <w:r>
              <w:t xml:space="preserve">Nurse practitioner or physician assistant</w:t>
            </w:r>
          </w:p>
        </w:tc>
        <w:tc>
          <w:tcPr/>
          <w:p>
            <w:pPr>
              <w:pStyle w:val="Compact"/>
              <w:jc w:val="left"/>
            </w:pPr>
            <w:r>
              <w:t xml:space="preserve">2</w:t>
            </w:r>
          </w:p>
        </w:tc>
      </w:tr>
      <w:tr>
        <w:tc>
          <w:tcPr/>
          <w:p>
            <w:pPr>
              <w:pStyle w:val="Compact"/>
              <w:jc w:val="left"/>
            </w:pPr>
            <w:r>
              <w:t xml:space="preserve">Clinical psychologist or social worker</w:t>
            </w:r>
          </w:p>
        </w:tc>
        <w:tc>
          <w:tcPr/>
          <w:p>
            <w:pPr>
              <w:pStyle w:val="Compact"/>
              <w:jc w:val="left"/>
            </w:pPr>
            <w:r>
              <w:t xml:space="preserve">2</w:t>
            </w:r>
          </w:p>
        </w:tc>
      </w:tr>
      <w:tr>
        <w:tc>
          <w:tcPr/>
          <w:p>
            <w:pPr>
              <w:pStyle w:val="Compact"/>
              <w:jc w:val="left"/>
            </w:pPr>
            <w:r>
              <w:t xml:space="preserve">Registered nurse</w:t>
            </w:r>
          </w:p>
        </w:tc>
        <w:tc>
          <w:tcPr/>
          <w:p>
            <w:pPr>
              <w:pStyle w:val="Compact"/>
              <w:jc w:val="left"/>
            </w:pPr>
            <w:r>
              <w:t xml:space="preserve">1</w:t>
            </w:r>
          </w:p>
        </w:tc>
      </w:tr>
      <w:tr>
        <w:tc>
          <w:tcPr/>
          <w:p>
            <w:pPr>
              <w:pStyle w:val="Compact"/>
              <w:jc w:val="left"/>
            </w:pPr>
            <w:r>
              <w:t xml:space="preserve">Bioethics fellow</w:t>
            </w:r>
          </w:p>
        </w:tc>
        <w:tc>
          <w:tcPr/>
          <w:p>
            <w:pPr>
              <w:pStyle w:val="Compact"/>
              <w:jc w:val="left"/>
            </w:pPr>
            <w:r>
              <w:t xml:space="preserve">1</w:t>
            </w:r>
          </w:p>
        </w:tc>
      </w:tr>
      <w:tr>
        <w:tc>
          <w:tcPr/>
          <w:p>
            <w:pPr>
              <w:pStyle w:val="Compact"/>
              <w:jc w:val="left"/>
            </w:pPr>
            <w:r>
              <w:t xml:space="preserve">Physician (resident or fellow)</w:t>
            </w:r>
          </w:p>
        </w:tc>
        <w:tc>
          <w:tcPr/>
          <w:p>
            <w:pPr>
              <w:pStyle w:val="Compact"/>
              <w:jc w:val="left"/>
            </w:pPr>
            <w:r>
              <w:t xml:space="preserve">1</w:t>
            </w:r>
          </w:p>
        </w:tc>
      </w:tr>
      <w:tr>
        <w:tc>
          <w:tcPr/>
          <w:p>
            <w:pPr>
              <w:pStyle w:val="Compact"/>
              <w:jc w:val="left"/>
            </w:pPr>
            <w:r>
              <w:t xml:space="preserve">Medical researcher or academic</w:t>
            </w:r>
          </w:p>
        </w:tc>
        <w:tc>
          <w:tcPr/>
          <w:p>
            <w:pPr>
              <w:pStyle w:val="Compact"/>
              <w:jc w:val="left"/>
            </w:pPr>
            <w:r>
              <w:t xml:space="preserve">1</w:t>
            </w:r>
          </w:p>
        </w:tc>
      </w:tr>
      <w:tr>
        <w:tc>
          <w:tcPr/>
          <w:p>
            <w:pPr>
              <w:pStyle w:val="Compact"/>
              <w:jc w:val="left"/>
            </w:pPr>
            <w:r>
              <w:rPr>
                <w:bCs/>
                <w:b/>
              </w:rPr>
              <w:t xml:space="preserve">Years of relevant experience</w:t>
            </w:r>
          </w:p>
        </w:tc>
        <w:tc>
          <w:tcPr/>
          <w:p>
            <w:pPr>
              <w:pStyle w:val="Compact"/>
            </w:pPr>
          </w:p>
        </w:tc>
      </w:tr>
      <w:tr>
        <w:tc>
          <w:tcPr/>
          <w:p>
            <w:pPr>
              <w:pStyle w:val="Compact"/>
              <w:jc w:val="left"/>
            </w:pPr>
            <w:r>
              <w:t xml:space="preserve">More than 15 years</w:t>
            </w:r>
          </w:p>
        </w:tc>
        <w:tc>
          <w:tcPr/>
          <w:p>
            <w:pPr>
              <w:pStyle w:val="Compact"/>
              <w:jc w:val="left"/>
            </w:pPr>
            <w:r>
              <w:t xml:space="preserve">18</w:t>
            </w:r>
          </w:p>
        </w:tc>
      </w:tr>
      <w:tr>
        <w:tc>
          <w:tcPr/>
          <w:p>
            <w:pPr>
              <w:pStyle w:val="Compact"/>
              <w:jc w:val="left"/>
            </w:pPr>
            <w:r>
              <w:t xml:space="preserve">8 to 15 years</w:t>
            </w:r>
          </w:p>
        </w:tc>
        <w:tc>
          <w:tcPr/>
          <w:p>
            <w:pPr>
              <w:pStyle w:val="Compact"/>
              <w:jc w:val="left"/>
            </w:pPr>
            <w:r>
              <w:t xml:space="preserve">16</w:t>
            </w:r>
          </w:p>
        </w:tc>
      </w:tr>
      <w:tr>
        <w:tc>
          <w:tcPr/>
          <w:p>
            <w:pPr>
              <w:pStyle w:val="Compact"/>
              <w:jc w:val="left"/>
            </w:pPr>
            <w:r>
              <w:t xml:space="preserve">4 to 7 years</w:t>
            </w:r>
          </w:p>
        </w:tc>
        <w:tc>
          <w:tcPr/>
          <w:p>
            <w:pPr>
              <w:pStyle w:val="Compact"/>
              <w:jc w:val="left"/>
            </w:pPr>
            <w:r>
              <w:t xml:space="preserve">8</w:t>
            </w:r>
          </w:p>
        </w:tc>
      </w:tr>
      <w:tr>
        <w:tc>
          <w:tcPr/>
          <w:p>
            <w:pPr>
              <w:pStyle w:val="Compact"/>
              <w:jc w:val="left"/>
            </w:pPr>
            <w:r>
              <w:t xml:space="preserve">1 to 3 years</w:t>
            </w:r>
          </w:p>
        </w:tc>
        <w:tc>
          <w:tcPr/>
          <w:p>
            <w:pPr>
              <w:pStyle w:val="Compact"/>
              <w:jc w:val="left"/>
            </w:pPr>
            <w:r>
              <w:t xml:space="preserve">3</w:t>
            </w:r>
          </w:p>
        </w:tc>
      </w:tr>
      <w:tr>
        <w:tc>
          <w:tcPr/>
          <w:p>
            <w:pPr>
              <w:pStyle w:val="Compact"/>
              <w:jc w:val="left"/>
            </w:pPr>
            <w:r>
              <w:t xml:space="preserve">Less than 1 year</w:t>
            </w:r>
          </w:p>
        </w:tc>
        <w:tc>
          <w:tcPr/>
          <w:p>
            <w:pPr>
              <w:pStyle w:val="Compact"/>
              <w:jc w:val="left"/>
            </w:pPr>
            <w:r>
              <w:t xml:space="preserve">1</w:t>
            </w:r>
          </w:p>
        </w:tc>
      </w:tr>
      <w:tr>
        <w:tc>
          <w:tcPr/>
          <w:p>
            <w:pPr>
              <w:pStyle w:val="Compact"/>
              <w:jc w:val="left"/>
            </w:pPr>
            <w:r>
              <w:rPr>
                <w:bCs/>
                <w:b/>
              </w:rPr>
              <w:t xml:space="preserve">Clinical or scholarly specialty (36 of 46 stated a specialty)</w:t>
            </w:r>
          </w:p>
        </w:tc>
        <w:tc>
          <w:tcPr/>
          <w:p>
            <w:pPr>
              <w:pStyle w:val="Compact"/>
            </w:pPr>
          </w:p>
        </w:tc>
      </w:tr>
      <w:tr>
        <w:tc>
          <w:tcPr/>
          <w:p>
            <w:pPr>
              <w:pStyle w:val="Compact"/>
              <w:jc w:val="left"/>
            </w:pPr>
            <w:r>
              <w:t xml:space="preserve">Consultation-liaison psychiatry</w:t>
            </w:r>
          </w:p>
        </w:tc>
        <w:tc>
          <w:tcPr/>
          <w:p>
            <w:pPr>
              <w:pStyle w:val="Compact"/>
              <w:jc w:val="left"/>
            </w:pPr>
            <w:r>
              <w:t xml:space="preserve">17</w:t>
            </w:r>
          </w:p>
        </w:tc>
      </w:tr>
      <w:tr>
        <w:tc>
          <w:tcPr/>
          <w:p>
            <w:pPr>
              <w:pStyle w:val="Compact"/>
              <w:jc w:val="left"/>
            </w:pPr>
            <w:r>
              <w:t xml:space="preserve">Clinical or research ethics</w:t>
            </w:r>
          </w:p>
        </w:tc>
        <w:tc>
          <w:tcPr/>
          <w:p>
            <w:pPr>
              <w:pStyle w:val="Compact"/>
              <w:jc w:val="left"/>
            </w:pPr>
            <w:r>
              <w:t xml:space="preserve">11</w:t>
            </w:r>
          </w:p>
        </w:tc>
      </w:tr>
      <w:tr>
        <w:tc>
          <w:tcPr/>
          <w:p>
            <w:pPr>
              <w:pStyle w:val="Compact"/>
              <w:jc w:val="left"/>
            </w:pPr>
            <w:r>
              <w:t xml:space="preserve">Psychiatry, other subspecialty</w:t>
            </w:r>
          </w:p>
        </w:tc>
        <w:tc>
          <w:tcPr/>
          <w:p>
            <w:pPr>
              <w:pStyle w:val="Compact"/>
              <w:jc w:val="left"/>
            </w:pPr>
            <w:r>
              <w:t xml:space="preserve">5</w:t>
            </w:r>
          </w:p>
        </w:tc>
      </w:tr>
      <w:tr>
        <w:tc>
          <w:tcPr/>
          <w:p>
            <w:pPr>
              <w:pStyle w:val="Compact"/>
              <w:jc w:val="left"/>
            </w:pPr>
            <w:r>
              <w:t xml:space="preserve">Palliative care</w:t>
            </w:r>
          </w:p>
        </w:tc>
        <w:tc>
          <w:tcPr/>
          <w:p>
            <w:pPr>
              <w:pStyle w:val="Compact"/>
              <w:jc w:val="left"/>
            </w:pPr>
            <w:r>
              <w:t xml:space="preserve">2</w:t>
            </w:r>
          </w:p>
        </w:tc>
      </w:tr>
      <w:tr>
        <w:tc>
          <w:tcPr/>
          <w:p>
            <w:pPr>
              <w:pStyle w:val="Compact"/>
              <w:jc w:val="left"/>
            </w:pPr>
            <w:r>
              <w:t xml:space="preserve">Oncology</w:t>
            </w:r>
          </w:p>
        </w:tc>
        <w:tc>
          <w:tcPr/>
          <w:p>
            <w:pPr>
              <w:pStyle w:val="Compact"/>
              <w:jc w:val="left"/>
            </w:pPr>
            <w:r>
              <w:t xml:space="preserve">1</w:t>
            </w:r>
          </w:p>
        </w:tc>
      </w:tr>
      <w:tr>
        <w:tc>
          <w:tcPr/>
          <w:p>
            <w:pPr>
              <w:pStyle w:val="Compact"/>
              <w:jc w:val="left"/>
            </w:pPr>
            <w:r>
              <w:t xml:space="preserve">Not stated</w:t>
            </w:r>
          </w:p>
        </w:tc>
        <w:tc>
          <w:tcPr/>
          <w:p>
            <w:pPr>
              <w:pStyle w:val="Compact"/>
              <w:jc w:val="left"/>
            </w:pPr>
            <w:r>
              <w:t xml:space="preserve">10</w:t>
            </w:r>
          </w:p>
        </w:tc>
      </w:tr>
      <w:tr>
        <w:tc>
          <w:tcPr/>
          <w:p>
            <w:pPr>
              <w:pStyle w:val="Compact"/>
              <w:jc w:val="left"/>
            </w:pPr>
            <w:r>
              <w:rPr>
                <w:bCs/>
                <w:b/>
              </w:rPr>
              <w:t xml:space="preserve">Referral source</w:t>
            </w:r>
          </w:p>
        </w:tc>
        <w:tc>
          <w:tcPr/>
          <w:p>
            <w:pPr>
              <w:pStyle w:val="Compact"/>
            </w:pPr>
          </w:p>
        </w:tc>
      </w:tr>
      <w:tr>
        <w:tc>
          <w:tcPr/>
          <w:p>
            <w:pPr>
              <w:pStyle w:val="Compact"/>
              <w:jc w:val="left"/>
            </w:pPr>
            <w:r>
              <w:t xml:space="preserve">Direct invitation from faculty co-investigator</w:t>
            </w:r>
          </w:p>
        </w:tc>
        <w:tc>
          <w:tcPr/>
          <w:p>
            <w:pPr>
              <w:pStyle w:val="Compact"/>
              <w:jc w:val="left"/>
            </w:pPr>
            <w:r>
              <w:t xml:space="preserve">22</w:t>
            </w:r>
          </w:p>
        </w:tc>
      </w:tr>
      <w:tr>
        <w:tc>
          <w:tcPr/>
          <w:p>
            <w:pPr>
              <w:pStyle w:val="Compact"/>
              <w:jc w:val="left"/>
            </w:pPr>
            <w:r>
              <w:t xml:space="preserve">Bioethics interest group or listserv</w:t>
            </w:r>
          </w:p>
        </w:tc>
        <w:tc>
          <w:tcPr/>
          <w:p>
            <w:pPr>
              <w:pStyle w:val="Compact"/>
              <w:jc w:val="left"/>
            </w:pPr>
            <w:r>
              <w:t xml:space="preserve">10</w:t>
            </w:r>
          </w:p>
        </w:tc>
      </w:tr>
      <w:tr>
        <w:tc>
          <w:tcPr/>
          <w:p>
            <w:pPr>
              <w:pStyle w:val="Compact"/>
              <w:jc w:val="left"/>
            </w:pPr>
            <w:r>
              <w:t xml:space="preserve">Colleague referral</w:t>
            </w:r>
          </w:p>
        </w:tc>
        <w:tc>
          <w:tcPr/>
          <w:p>
            <w:pPr>
              <w:pStyle w:val="Compact"/>
              <w:jc w:val="left"/>
            </w:pPr>
            <w:r>
              <w:t xml:space="preserve">4</w:t>
            </w:r>
          </w:p>
        </w:tc>
      </w:tr>
      <w:tr>
        <w:tc>
          <w:tcPr/>
          <w:p>
            <w:pPr>
              <w:pStyle w:val="Compact"/>
              <w:jc w:val="left"/>
            </w:pPr>
            <w:r>
              <w:t xml:space="preserve">Institutional newsletter (MBE, HMS, Center for Bioethics)</w:t>
            </w:r>
          </w:p>
        </w:tc>
        <w:tc>
          <w:tcPr/>
          <w:p>
            <w:pPr>
              <w:pStyle w:val="Compact"/>
              <w:jc w:val="left"/>
            </w:pPr>
            <w:r>
              <w:t xml:space="preserve">3</w:t>
            </w:r>
          </w:p>
        </w:tc>
      </w:tr>
      <w:tr>
        <w:tc>
          <w:tcPr/>
          <w:p>
            <w:pPr>
              <w:pStyle w:val="Compact"/>
              <w:jc w:val="left"/>
            </w:pPr>
            <w:r>
              <w:t xml:space="preserve">LinkedIn</w:t>
            </w:r>
          </w:p>
        </w:tc>
        <w:tc>
          <w:tcPr/>
          <w:p>
            <w:pPr>
              <w:pStyle w:val="Compact"/>
              <w:jc w:val="left"/>
            </w:pPr>
            <w:r>
              <w:t xml:space="preserve">1</w:t>
            </w:r>
          </w:p>
        </w:tc>
      </w:tr>
      <w:tr>
        <w:tc>
          <w:tcPr/>
          <w:p>
            <w:pPr>
              <w:pStyle w:val="Compact"/>
              <w:jc w:val="left"/>
            </w:pPr>
            <w:r>
              <w:t xml:space="preserve">Other or not specified</w:t>
            </w:r>
          </w:p>
        </w:tc>
        <w:tc>
          <w:tcPr/>
          <w:p>
            <w:pPr>
              <w:pStyle w:val="Compact"/>
              <w:jc w:val="left"/>
            </w:pPr>
            <w:r>
              <w:t xml:space="preserve">6</w:t>
            </w:r>
          </w:p>
        </w:tc>
      </w:tr>
    </w:tbl>
    <w:p>
      <w:pPr>
        <w:pStyle w:val="BodyText"/>
      </w:pPr>
      <w:r>
        <w:t xml:space="preserve">Seventy-four percent of registrants reported eight or more years of relevant experience, and 29 of 46 held a clinical role. Among the 36 who stated a specialty, consultation-liaison psychiatry is the single largest group at 17. This concentration is not incidental: assessment of decisional capacity is routine consultation work for that specialty, so the reference standard is weighted toward reviewers who perform the underlying clinical judgment regularly. The corresponding limitation is stated in section 10.</w:t>
      </w:r>
    </w:p>
    <w:p>
      <w:pPr>
        <w:pStyle w:val="BodyText"/>
      </w:pPr>
      <w:r>
        <w:t xml:space="preserve">Characteristics in Table 4 describe all 46 registrants rather than the 30 who contributed ratings, since role, experience, and specialty were collected at registration and are not linked to submission records. Whether contributing and non-contributing reviewers differ on these characteristics is therefore not estimable from the available data, and is reported as a limitation.</w:t>
      </w:r>
    </w:p>
    <w:bookmarkEnd w:id="53"/>
    <w:bookmarkStart w:id="54" w:name="language-models"/>
    <w:p>
      <w:pPr>
        <w:pStyle w:val="Heading3"/>
      </w:pPr>
      <w:r>
        <w:rPr>
          <w:bCs/>
          <w:b/>
        </w:rPr>
        <w:t xml:space="preserve">5.2 Language models</w:t>
      </w:r>
    </w:p>
    <w:p>
      <w:pPr>
        <w:pStyle w:val="FirstParagraph"/>
      </w:pPr>
      <w:r>
        <w:t xml:space="preserve">Models were queried through a single API gateway using a fixed prompt containing the vignette, the thirteen items, the two modifiers, and the verbatim response scale including the N/A option. Output was requested in a fixed structure to permit parsing.</w:t>
      </w:r>
    </w:p>
    <w:p>
      <w:pPr>
        <w:pStyle w:val="BodyText"/>
      </w:pPr>
      <w:r>
        <w:t xml:space="preserve">Three implementation choices are material to the variance structure and are recorded here. First, constrained JSON decoding was disabled, so that run-to-run variability reflects the model’s own stochasticity rather than being suppressed by format constraints. Second, provider routing was pinned per model, so that repeated calls to a nominal model were not silently served by different backends with different quantization or system configuration. Third, checkpointing marked a call complete only on successful parse, so that failed calls were retried on resume rather than being recorded as missing.</w:t>
      </w:r>
    </w:p>
    <w:p>
      <w:pPr>
        <w:pStyle w:val="BodyText"/>
      </w:pPr>
      <w:r>
        <w:t xml:space="preserve">Two model runs were conducted. The first, in March 2026, covered nine models across the full 89-vignette corpus, with ten independent runs per model per vignette; 7,275 of 8,010 attempted scorings returned a valid parsed response, a validity rate of 90.8 percent. This run produced the scores used to stratify the comparison set (section 3.3). The second, in July 2026, covered eight current-generation successor models across the 50-vignette comparison set, again with ten runs per model per vignette. Both runs used identical prompts and identical parsing. The July run is the primary source for the human–model comparison; the March run, restricted to the 50 comparison vignettes, provides a preceding-generation reference against which change across a model generation is assessed.</w:t>
      </w:r>
    </w:p>
    <w:p>
      <w:pPr>
        <w:pStyle w:val="BodyText"/>
      </w:pPr>
      <w:r>
        <w:t xml:space="preserve">The models queried in the July run, with their vignette coverage and per-model validity rates, are reported in Table 6 of section 8.12. The scoring code, including the per-model configuration used for every call and the full prompt as issued, is released with the paper so that the run is reproducible from the record rather than from a prose description.</w:t>
      </w:r>
    </w:p>
    <w:bookmarkEnd w:id="54"/>
    <w:bookmarkEnd w:id="55"/>
    <w:bookmarkStart w:id="60" w:name="analysis"/>
    <w:p>
      <w:pPr>
        <w:pStyle w:val="Heading2"/>
      </w:pPr>
      <w:r>
        <w:rPr>
          <w:bCs/>
          <w:b/>
        </w:rPr>
        <w:t xml:space="preserve">6 Analysis</w:t>
      </w:r>
    </w:p>
    <w:p>
      <w:pPr>
        <w:pStyle w:val="FirstParagraph"/>
      </w:pPr>
      <w:r>
        <w:t xml:space="preserve">The analysis has three strands. They answer different questions, rest on different assumptions, and are reported separately, so agreement or disagreement in one does not carry over to another.</w:t>
      </w:r>
    </w:p>
    <w:p>
      <w:pPr>
        <w:pStyle w:val="FirstParagraph"/>
      </w:pPr>
      <w:r>
        <w:rPr>
          <w:b/>
        </w:rPr>
        <w:t xml:space="preserve">Psychometric analysis.</w:t>
      </w:r>
      <w:r>
        <w:t xml:space="preserve"> The psychometric analysis asks whether the instrument measures consistently. It comprises the variance components and reliability coefficients specified in section 6.1, internal consistency across the thirteen items, run-to-run self-consistency within each model on identical prompts, item-level agreement between the two sources with correction for multiple comparisons, and the rates at which each source declined to score an item. It is reported in sections 8.11 and 8.12.</w:t>
      </w:r>
    </w:p>
    <w:p>
      <w:pPr>
        <w:pStyle w:val="FirstParagraph"/>
      </w:pPr>
      <w:r>
        <w:rPr>
          <w:b/>
        </w:rPr>
        <w:t xml:space="preserve">Statistical analysis.</w:t>
      </w:r>
      <w:r>
        <w:t xml:space="preserve"> The statistical analysis asks how far human and model ratings differ and with what confidence. It comprises the correlation and rank agreement specified in section 6.2(a), paired differences with confidence intervals and effect sizes, limits of agreement, the divergence between the two score distributions at composite, domain and item level, and the proportion of model scores falling inside the range of human ratings. It is reported in sections 8.2, 8.3, 8.6, 8.7 and 8.10.</w:t>
      </w:r>
    </w:p>
    <w:p>
      <w:pPr>
        <w:pStyle w:val="FirstParagraph"/>
      </w:pPr>
      <w:r>
        <w:rPr>
          <w:b/>
        </w:rPr>
        <w:t xml:space="preserve">Causal analysis.</w:t>
      </w:r>
      <w:r>
        <w:t xml:space="preserve"> The causal analysis asks what the difference is attributable to. It comprises a nested variance decomposition separating vignette content from rating source and their interaction, and the mixed difference model specified in section 6.2(b), from which the source effect is estimated overall, within score tier, by domain, and by model, together with the prespecified moderation of that effect by case difficulty and by the two contextual modifiers. It is reported in sections 8.4, 8.5 and 8.8. Rating source is not randomized and the comparison set is not a random sample of the corpus, so these estimates are adjusted associations rather than causal effects in the counterfactual sense; the label describes the modelling approach and the question it addresses, not a claim about identification.</w:t>
      </w:r>
    </w:p>
    <w:p>
      <w:pPr>
        <w:pStyle w:val="FirstParagraph"/>
      </w:pPr>
      <w:r>
        <w:t xml:space="preserve">Sections 6.3 and 6.4 set out the multiplicity plan and the missingness check, which apply across all three strands.</w:t>
      </w:r>
    </w:p>
    <w:bookmarkStart w:id="56" w:name="reliability-and-variance-components"/>
    <w:p>
      <w:pPr>
        <w:pStyle w:val="Heading3"/>
      </w:pPr>
      <w:r>
        <w:rPr>
          <w:bCs/>
          <w:b/>
        </w:rPr>
        <w:t xml:space="preserve">6.1 Reliability and variance components</w:t>
      </w:r>
    </w:p>
    <w:p>
      <w:pPr>
        <w:pStyle w:val="FirstParagraph"/>
      </w:pPr>
      <w:r>
        <w:t xml:space="preserve">Because the rater-by-vignette design is incomplete and unbalanced (section 3.1), reliability is estimated from a linear mixed model rather than from a crossed-design intraclass correlation formula. For each domain and for the composite, we fit a model with crossed random intercepts for vignette and for rater, and a residual term:</w:t>
      </w:r>
    </w:p>
    <w:p>
      <w:pPr>
        <w:pStyle w:val="BodyText"/>
      </w:pPr>
      <w:r>
        <w:rPr>
          <w:iCs/>
          <w:i/>
        </w:rPr>
        <w:t xml:space="preserve">y_vr = μ + a_v + b_r + ε_vr, a_v ~ N(0, σ²_v), b_r ~ N(0, σ²_r), ε_vr ~ N(0, σ²_e)</w:t>
      </w:r>
    </w:p>
    <w:p>
      <w:pPr>
        <w:pStyle w:val="BodyText"/>
      </w:pPr>
      <w:r>
        <w:t xml:space="preserve">Variance components are estimated by restricted maximum likelihood. Missing cells arising from N/A responses and from the incomplete allocation are accommodated directly by the likelihood and require no listwise deletion. We report σ²_v, σ²_r, and σ²_e with profile-likelihood confidence intervals, since the rater variance in particular is estimated with limited precision.</w:t>
      </w:r>
    </w:p>
    <w:p>
      <w:pPr>
        <w:pStyle w:val="BodyText"/>
      </w:pPr>
      <w:r>
        <w:t xml:space="preserve">Because the number of ratings per vignette varies from 2 to 5, there is no single reliability coefficient for the aggregate. Two quantities are therefore derived from the variance components and reported separately. The first is the reliability of a single rating, corresponding to absolute agreement between two arbitrary reviewers, which is design-independent:</w:t>
      </w:r>
    </w:p>
    <w:p>
      <w:pPr>
        <w:pStyle w:val="BodyText"/>
      </w:pPr>
      <w:r>
        <w:rPr>
          <w:iCs/>
          <w:i/>
        </w:rPr>
        <w:t xml:space="preserve">ρ₁ = σ²_v ⁄ (σ²_v + σ²_r + σ²_e)</w:t>
      </w:r>
    </w:p>
    <w:p>
      <w:pPr>
        <w:pStyle w:val="BodyText"/>
      </w:pPr>
      <w:r>
        <w:t xml:space="preserve">The second is the reliability of the aggregate actually used in the comparison, evaluated at the harmonic mean of the per-vignette rating counts:</w:t>
      </w:r>
    </w:p>
    <w:p>
      <w:pPr>
        <w:pStyle w:val="BodyText"/>
      </w:pPr>
      <w:r>
        <w:rPr>
          <w:iCs/>
          <w:i/>
        </w:rPr>
        <w:t xml:space="preserve">ρ_k̄ = σ²_v ⁄ [ σ²_v + (σ²_r + σ²_e) ⁄ k̄ ], k̄ = 3.09</w:t>
      </w:r>
    </w:p>
    <w:p>
      <w:pPr>
        <w:pStyle w:val="BodyText"/>
      </w:pPr>
      <w:r>
        <w:t xml:space="preserve">The harmonic mean is used rather than the arithmetic mean because the sampling variance of a vignette mean is inversely proportional to its rating count, so precisions rather than counts are the quantity to average; using the arithmetic mean would overstate the reliability of the aggregate. Per-vignette reliabilities evaluated at each vignette’s own rating count are reported in supplementary material, so that the two vignettes rated twice and the two rated five times are visible rather than absorbed into a single figure.</w:t>
      </w:r>
    </w:p>
    <w:p>
      <w:pPr>
        <w:pStyle w:val="BodyText"/>
      </w:pPr>
      <w:r>
        <w:t xml:space="preserve">A decision study extends this to estimate the number of ratings per vignette required to reach a target reliability of 0.80, informing whether a subsequent validation round should recruit additional reviewers per case.</w:t>
      </w:r>
    </w:p>
    <w:p>
      <w:pPr>
        <w:pStyle w:val="BodyText"/>
      </w:pPr>
      <w:r>
        <w:rPr>
          <w:bCs/>
          <w:b/>
        </w:rPr>
        <w:t xml:space="preserve">Pre-specified contingency.</w:t>
      </w:r>
      <w:r>
        <w:t xml:space="preserve"> Where ρ_k̄ for a domain falls below 0.60, comparisons involving that domain are reported as exploratory and are not counted in the confirmatory family defined in section 6.3. This rule is fixed in advance so that the treatment of a weakly reliable domain is not decided after its value is known.</w:t>
      </w:r>
    </w:p>
    <w:p>
      <w:pPr>
        <w:pStyle w:val="BodyText"/>
      </w:pPr>
      <w:r>
        <w:t xml:space="preserve">Within-model reliability is estimated separately from the ten runs per vignette as the intraclass correlation across runs, giving a direct measure of each model’s self-consistency. A model may be internally consistent and systematically miscalibrated, or internally noisy and unbiased on average, and the two failure modes call for different responses.</w:t>
      </w:r>
    </w:p>
    <w:p>
      <w:pPr>
        <w:pStyle w:val="BodyText"/>
      </w:pPr>
      <w:r>
        <w:t xml:space="preserve">ECI and SPI reliability is estimated from the same crossed random-effects specification but reported separately from the domain items. They are single-item measures on a continuous scale rather than multi-item ordinal subscales, so their reliability is not comparable to the domain coefficients and is not pooled with them.</w:t>
      </w:r>
    </w:p>
    <w:p>
      <w:pPr>
        <w:pStyle w:val="BodyText"/>
      </w:pPr>
      <w:r>
        <w:t xml:space="preserve">Internal consistency within domain is reported as ordinal alpha, with the caveat that three-item domains are expected to yield modest coefficients and that domains are specified to be conceptually distinct rather than internally redundant. Inter-item correlations within domain are reported, with particular attention to the item pairs whose wording overlaps (section 10).</w:t>
      </w:r>
    </w:p>
    <w:bookmarkEnd w:id="56"/>
    <w:bookmarkStart w:id="57" w:name="humanmodel-comparison"/>
    <w:p>
      <w:pPr>
        <w:pStyle w:val="Heading3"/>
      </w:pPr>
      <w:r>
        <w:rPr>
          <w:bCs/>
          <w:b/>
        </w:rPr>
        <w:t xml:space="preserve">6.2 Human–model comparison</w:t>
      </w:r>
    </w:p>
    <w:p>
      <w:pPr>
        <w:pStyle w:val="FirstParagraph"/>
      </w:pPr>
      <w:r>
        <w:t xml:space="preserve">Model scores for the 50 comparison vignettes are compared against the human reference on three quantities. These are mathematically independent and are reported separately; agreement on one does not imply agreement on another.</w:t>
      </w:r>
    </w:p>
    <w:p>
      <w:pPr>
        <w:pStyle w:val="BodyText"/>
      </w:pPr>
      <w:r>
        <w:rPr>
          <w:bCs/>
          <w:b/>
        </w:rPr>
        <w:t xml:space="preserve">(a) Association and rank agreement.</w:t>
      </w:r>
      <w:r>
        <w:t xml:space="preserve"> Pearson correlation between mean human and mean model composite across matched vignettes measures linear association on the score values. Spearman correlation measures rank agreement, that is, whether models order cases as humans do. Both are reported; Spearman is primary, since the substantive claim concerns ordering rather than linearity. Because the human reference is itself measured with error, the disattenuated correlation using ρ_k̄ as the reliability of the reference is reported alongside the raw value. The raw value remains primary, since it describes agreement with the reference standard as actually constituted.</w:t>
      </w:r>
    </w:p>
    <w:p>
      <w:pPr>
        <w:pStyle w:val="BodyText"/>
      </w:pPr>
      <w:r>
        <w:rPr>
          <w:bCs/>
          <w:b/>
        </w:rPr>
        <w:t xml:space="preserve">(b) Difference model.</w:t>
      </w:r>
      <w:r>
        <w:t xml:space="preserve"> Level offset and its variation across the score range are estimated from a single mixed model rather than from summary agreement statistics. For the composite and for each domain separately, let y be a rescaled score from rating source s on vignette v produced by rater or run i:</w:t>
      </w:r>
    </w:p>
    <w:p>
      <w:pPr>
        <w:pStyle w:val="BodyText"/>
      </w:pPr>
      <w:r>
        <w:rPr>
          <w:iCs/>
          <w:i/>
        </w:rPr>
        <w:t xml:space="preserve">y_vsi = μ + a_v + b_i + γ·1[s = model] + Σ_t δ_t·1[s = model]·1[tier(v) = t] + u_v·1[s = model] + ε_vsi</w:t>
      </w:r>
    </w:p>
    <w:p>
      <w:pPr>
        <w:pStyle w:val="BodyText"/>
      </w:pPr>
      <w:r>
        <w:t xml:space="preserve">The model carries crossed random intercepts for vignette (a_v) and for rater or model instance (b_i), a random slope for rating source by vignette (u_v), and fixed effects for rating source and its interaction with the five score tiers defined in section 3.3. Observations are weighted so that human ratings and model runs contribute equally per vignette, preventing the larger number of model runs from dominating the estimate. Estimation is by restricted maximum likelihood, with Kenward–Roger degrees of freedom for the fixed-effect tests.</w:t>
      </w:r>
    </w:p>
    <w:p>
      <w:pPr>
        <w:pStyle w:val="BodyText"/>
      </w:pPr>
      <w:r>
        <w:t xml:space="preserve">Three quantities are read from this model. The coefficient γ is the overall level offset of model ratings relative to human ratings, pooled across tiers. The tier-specific offsets γ + δ_t give the offset within each stratum of the score range. The standard deviation of u_v gives the extent to which the human–model gap varies from case to case, which a single bias figure conceals.</w:t>
      </w:r>
    </w:p>
    <w:p>
      <w:pPr>
        <w:pStyle w:val="BodyText"/>
      </w:pPr>
      <w:r>
        <w:rPr>
          <w:bCs/>
          <w:b/>
        </w:rPr>
        <w:t xml:space="preserve">The tier-specific offsets are the primary specification, and the pooled γ is secondary.</w:t>
      </w:r>
      <w:r>
        <w:t xml:space="preserve"> This follows from the sampling design rather than from preference. Vignettes were selected at the extremes of the March score distribution, so extreme model scores are extreme partly through run-to-run noise and regress toward the mean on re-measurement, while human ratings carry no equivalent selection artifact (section 3.3). That artifact operates across tiers and not within them, so a within-tier estimate is not contaminated by it, whereas any statistic computed across the full range is. Estimating the offset within stratum therefore addresses the selection problem by construction rather than by post hoc correction.</w:t>
      </w:r>
    </w:p>
    <w:p>
      <w:pPr>
        <w:pStyle w:val="BodyText"/>
      </w:pPr>
      <w:r>
        <w:t xml:space="preserve">Two supporting analyses are reported. The same model is fitted to the March run, where the selection artifact is expected to be strongest; a cross-tier offset that shrinks toward the within-tier estimates when moving from March to July is evidence that the residual difference between them is selection-induced. And the tier interaction is tested jointly, since a null interaction would license reporting the pooled γ as the headline figure while a non-null one would not.</w:t>
      </w:r>
    </w:p>
    <w:p>
      <w:pPr>
        <w:pStyle w:val="BodyText"/>
      </w:pPr>
      <w:r>
        <w:rPr>
          <w:bCs/>
          <w:b/>
        </w:rPr>
        <w:t xml:space="preserve">(c) Domain-specific gaps.</w:t>
      </w:r>
      <w:r>
        <w:t xml:space="preserve"> The difference model in (b) is fitted separately to each of the four domain scores, and the resulting γ and γ + δ_t estimates are compared across domains. Because the four domains are scored by the same rater on the same vignette, the domain estimates are correlated; the four fixed-effect tests are therefore treated as a family and corrected together (section 6.3). A joint test of whether the offset differs across domains is fitted as a single model with domain as a repeated factor and a rating source by domain interaction, with an unstructured residual covariance across domains within rating.</w:t>
      </w:r>
    </w:p>
    <w:p>
      <w:pPr>
        <w:pStyle w:val="BodyText"/>
      </w:pPr>
      <w:r>
        <w:rPr>
          <w:bCs/>
          <w:b/>
        </w:rPr>
        <w:t xml:space="preserve">(d) Descriptive agreement display.</w:t>
      </w:r>
      <w:r>
        <w:t xml:space="preserve"> A Bland–Altman plot of the difference between human and model composites against their mean is reported as a figure, using the replicate-measures form appropriate to designs with unequal numbers of observations per subject, so that within-vignette repeatability is partitioned out of the limits of agreement rather than absorbed into them.</w:t>
      </w:r>
    </w:p>
    <w:p>
      <w:pPr>
        <w:pStyle w:val="BodyText"/>
      </w:pPr>
      <w:r>
        <w:t xml:space="preserve">This display is descriptive and carries no interchangeability claim. Limits of agreement are conventionally judged against a difference considered acceptable in practice, stated before the data are seen. No such threshold exists for the Autonomy Index, which is a new measure with no established tolerance, and inventing one would make the resulting judgment arbitrary. Limits are therefore reported to convey the spread and shape of disagreement across the range, which no single coefficient does, and the inferential statement about level offset rests on the model in (b).</w:t>
      </w:r>
    </w:p>
    <w:p>
      <w:pPr>
        <w:pStyle w:val="BodyText"/>
      </w:pPr>
      <w:r>
        <w:t xml:space="preserve">Two features of the plot require the caveats attached to them in the caption. Plotting the difference against the mean of both sources induces artifactual correlation when the two sources have unequal error variance, which they do here; the plot is therefore repeated against the human aggregate as the reference, and both versions are shown. And any slope of difference on mean is subject to the same selection artifact described in (b), so the plot is annotated by tier rather than read as a single trend line.</w:t>
      </w:r>
    </w:p>
    <w:bookmarkEnd w:id="57"/>
    <w:bookmarkStart w:id="58" w:name="analysis-plan-and-multiplicity"/>
    <w:p>
      <w:pPr>
        <w:pStyle w:val="Heading3"/>
      </w:pPr>
      <w:r>
        <w:rPr>
          <w:bCs/>
          <w:b/>
        </w:rPr>
        <w:t xml:space="preserve">6.3 Analysis plan and multiplicity</w:t>
      </w:r>
    </w:p>
    <w:p>
      <w:pPr>
        <w:pStyle w:val="FirstParagraph"/>
      </w:pPr>
      <w:r>
        <w:t xml:space="preserve">The confirmatory family comprises the rating-source effect in the difference model of section 6.2(b), fitted to the composite and to each of the four domains, five tests in total, using the July model run as the primary source. Multiplicity within this family is controlled by the Holm–Bonferroni procedure.</w:t>
      </w:r>
    </w:p>
    <w:p>
      <w:pPr>
        <w:pStyle w:val="BodyText"/>
      </w:pPr>
      <w:r>
        <w:t xml:space="preserve">Because the tier-specific offsets are the primary specification, the confirmatory test for each outcome is the joint test that the model offset is zero across all five tiers, not the pooled coefficient. The five tier-specific estimates within an outcome are reported with simultaneous confidence intervals rather than tested individually, since they decompose a single question rather than posing five.</w:t>
      </w:r>
    </w:p>
    <w:p>
      <w:pPr>
        <w:pStyle w:val="BodyText"/>
      </w:pPr>
      <w:r>
        <w:t xml:space="preserve">The March-run comparison, the ECI and SPI association analyses, the N/A rate comparison, the position-within-block check, the landmark-case comparison, and all per-model breakdowns are exploratory, are labeled as such throughout, and are not corrected within the confirmatory family. The Bland–Altman display in section 6.2(d) is descriptive and carries no test.</w:t>
      </w:r>
    </w:p>
    <w:p>
      <w:pPr>
        <w:pStyle w:val="BodyText"/>
      </w:pPr>
      <w:r>
        <w:t xml:space="preserve">Two further pre-specified analyses follow from the selection design. The tier-weighted correlation in section 6.2(a) is designated the estimate that generalizes to the corpus, and is reported alongside the unweighted estimate in every table where a correlation appears. And because three landmark vignettes were included deliberately, human ratings on those three are compared with human ratings on the remaining 47 to test whether prior familiarity with a case shifts scores; if it does, the landmark vignettes are reported separately rather than pooled.</w:t>
      </w:r>
    </w:p>
    <w:bookmarkEnd w:id="58"/>
    <w:bookmarkStart w:id="59" w:name="missingness-among-human-ratings"/>
    <w:p>
      <w:pPr>
        <w:pStyle w:val="Heading3"/>
      </w:pPr>
      <w:r>
        <w:rPr>
          <w:bCs/>
          <w:b/>
        </w:rPr>
        <w:t xml:space="preserve">6.4 Missingness among human ratings</w:t>
      </w:r>
    </w:p>
    <w:p>
      <w:pPr>
        <w:pStyle w:val="FirstParagraph"/>
      </w:pPr>
      <w:r>
        <w:t xml:space="preserve">Assignment was by round robin and is therefore ignorable, but completion was not: 175 of 275 assigned ratings were returned, and per-vignette completion ranged from 33 to 100 percent. If reviewers preferentially completed shorter or less ambiguous vignettes, the resulting missingness would be informative and the human reference would be differentially precise across the corpus.</w:t>
      </w:r>
    </w:p>
    <w:p>
      <w:pPr>
        <w:pStyle w:val="BodyText"/>
      </w:pPr>
      <w:r>
        <w:t xml:space="preserve">We therefore model completion of an assigned rating as a binary outcome in a mixed-effects logistic regression with random intercepts for reviewer and for vignette, and fixed effects for vignette length in words and for the mean model-scored composite as a proxy for case difficulty. If neither predictor is associated with completion, missingness is treated as ignorable conditional on the random effects and no further adjustment is made. If either predictor is associated with completion, the primary comparison is repeated with inverse-probability-of-response weights derived from this model, and the weighted and unweighted estimates are reported side by side. This check is specified in advance and its result is reported whichever way it falls.</w:t>
      </w:r>
    </w:p>
    <w:bookmarkEnd w:id="59"/>
    <w:bookmarkEnd w:id="60"/>
    <w:bookmarkStart w:id="61" w:name="reporting-conventions"/>
    <w:p>
      <w:pPr>
        <w:pStyle w:val="Heading2"/>
      </w:pPr>
      <w:r>
        <w:rPr>
          <w:bCs/>
          <w:b/>
        </w:rPr>
        <w:t xml:space="preserve">7 Reporting conventions</w:t>
      </w:r>
    </w:p>
    <w:p>
      <w:pPr>
        <w:pStyle w:val="FirstParagraph"/>
      </w:pPr>
      <w:r>
        <w:t xml:space="preserve">Results are reported as the composite with its uncertainty interval, the four domain scores, ECI, SPI, and any triggered interpretive flags. Human–model differences are reported by score tier alongside the pooled estimate, never as a pooled figure alone, for the reason given in section 6.2(b). The composite is not reported alone. Two cases with identical composites may differ substantially in which domain is deficient, and the indicated response differs accordingly.</w:t>
      </w:r>
    </w:p>
    <w:p>
      <w:pPr>
        <w:pStyle w:val="BodyText"/>
      </w:pPr>
      <w:r>
        <w:t xml:space="preserve">Uncertainty is estimated by nonparametric bootstrap, resampling reviewers within vignette at that vignette's own rating count for human ratings, and runs within vignette for model ratings, with 10,000 replicates, reporting the 2.5th and 97.5th percentiles. With two to six ratings per vignette the bootstrap interval for human ratings is coarse, and coarsest for the singly rated vignette and the six rated twice; those cases are identified wherever a per-vignette interval is reported.</w:t>
      </w:r>
    </w:p>
    <w:p>
      <w:pPr>
        <w:pStyle w:val="BodyText"/>
      </w:pPr>
      <w:r>
        <w:t xml:space="preserve">Interpretive bands are:</w:t>
      </w:r>
    </w:p>
    <w:p>
      <w:pPr>
        <w:numPr>
          <w:ilvl w:val="0"/>
          <w:numId w:val="1004"/>
        </w:numPr>
      </w:pPr>
      <w:r>
        <w:t xml:space="preserve">AI ≥ 80 — strong evidence of autonomous agency</w:t>
      </w:r>
    </w:p>
    <w:p>
      <w:pPr>
        <w:numPr>
          <w:ilvl w:val="0"/>
          <w:numId w:val="1004"/>
        </w:numPr>
      </w:pPr>
      <w:r>
        <w:t xml:space="preserve">AI 60 to 79 — adequate; additional supports may optimize the decision</w:t>
      </w:r>
    </w:p>
    <w:p>
      <w:pPr>
        <w:numPr>
          <w:ilvl w:val="0"/>
          <w:numId w:val="1004"/>
        </w:numPr>
      </w:pPr>
      <w:r>
        <w:t xml:space="preserve">AI &lt; 60 — autonomy not fully demonstrated; further support and reassessment indicated</w:t>
      </w:r>
    </w:p>
    <w:p>
      <w:pPr>
        <w:pStyle w:val="FirstParagraph"/>
      </w:pPr>
      <w:r>
        <w:t xml:space="preserve">Bands are interpretive aids and not decision rules. They are reported jointly with ECI and SPI so that a low score arising under high constraint or low support is read as an indication for environmental change rather than as a conclusion about the individual.</w:t>
      </w:r>
    </w:p>
    <w:bookmarkEnd w:id="61"/>
    <w:bookmarkEnd w:id="62"/>
    <w:bookmarkStart w:id="100" w:name="results"/>
    <w:p>
      <w:pPr>
        <w:pStyle w:val="Heading1"/>
      </w:pPr>
      <w:r>
        <w:rPr>
          <w:bCs/>
          <w:b/>
        </w:rPr>
        <w:t xml:space="preserve">Results</w:t>
      </w:r>
    </w:p>
    <w:p>
      <w:pPr>
        <w:pStyle w:val="FirstParagraph"/>
      </w:pPr>
      <w:r>
        <w:t xml:space="preserve">Results below compare human ratings with the July 2026 model generation on the 50-vignette comparison set, which is the primary comparison specified in section 5.2. Figures 4 to 11 accompany the text.</w:t>
      </w:r>
    </w:p>
    <w:bookmarkStart w:id="63" w:name="X321caecc806043f1e9b8d2979befd7081ef11a8"/>
    <w:p>
      <w:pPr>
        <w:pStyle w:val="Heading2"/>
      </w:pPr>
      <w:r>
        <w:rPr>
          <w:bCs/>
          <w:b/>
        </w:rPr>
        <w:t xml:space="preserve">8.1 The analyzed dataset and the response-scale harmonization</w:t>
      </w:r>
    </w:p>
    <w:p>
      <w:pPr>
        <w:pStyle w:val="FirstParagraph"/>
      </w:pPr>
      <w:r>
        <w:t xml:space="preserve">The analyzed file contains 173 human ratings across the 50 vignettes, together with 3,431 valid model scores from eight models scored in July 2026, each model run approximately ten times per vignette. Ratings per vignette range from 1 to 6 (median 3, mean 3.46, harmonic mean 3.09), with seven vignettes below the three-rating target and one vignette rated only once.</w:t>
      </w:r>
    </w:p>
    <w:p>
      <w:pPr>
        <w:pStyle w:val="BodyText"/>
      </w:pPr>
      <w:r>
        <w:rPr>
          <w:bCs/>
          <w:b/>
        </w:rPr>
        <w:t xml:space="preserve">The response-scale harmonization.</w:t>
      </w:r>
      <w:r>
        <w:t xml:space="preserve"> Earlier drafts of this analysis reported human scores on an unresolved encoding. The instrument documented in section 3.5 uses a five-point response scale, 0 to 4, plus a separate not-applicable option, giving six stored response codes, and an intermediate export rescaled the stored codes by dividing by four without first removing the offset or excluding the not-applicable category. That produced human domain scores above the defined ceiling of the measure and left the magnitude of the human–model difference indeterminate across a factor of about three. The item-level response file has since been used to recover the intended encoding: stored codes 1 through 5 map to scores 0 through 4, code 6 is not-applicable and is excluded from the domain mean rather than averaged in as though it were the highest response, and the resulting item scores are normalized to 0 to 100 as specified in section 4.1. All results in this section are computed on that harmonization, and all human scores now fall within 0 to 100.</w:t>
      </w:r>
    </w:p>
    <w:p>
      <w:pPr>
        <w:pStyle w:val="BodyText"/>
      </w:pPr>
      <w:r>
        <w:t xml:space="preserve">The correction is substantial and it moves the headline result down rather than up. Under the intermediate export the human mean was 94.5 and the human–model difference 55.3 points; on the corrected harmonization the human mean is 50.2 and the difference 11.0 points. Direction, statistical significance, presence in every domain and for every model, and rank agreement are unchanged. Magnitude, effect size, the classification of the distributional divergences, the coverage statistics, and the distribution of vignettes across the interpretive bands all change, and every one of them changes toward a smaller and more qualified claim.</w:t>
      </w:r>
    </w:p>
    <w:p>
      <w:pPr>
        <w:pStyle w:val="FirstParagraph"/>
      </w:pPr>
      <w:r>
        <w:t xml:space="preserve">Two consequences follow for readers of earlier versions of this work. Any figure quoted from a draft that reports a human mean near 94.5 or near 69.5, or a human–model difference near 55 or near 30, is superseded by the values in Table 5. And the distributional and coverage statistics in sections 8.6 and 8.7, previously described as showing large divergence and poor coverage, are recomputed here on the corrected data and show small to moderate divergence and coverage of roughly three quarters.</w:t>
      </w:r>
    </w:p>
    <w:p>
      <w:pPr>
        <w:pStyle w:val="BodyText"/>
      </w:pPr>
      <w:r>
        <w:rPr>
          <w:bCs/>
          <w:b/>
        </w:rPr>
        <w:t xml:space="preserve">What the harmonization does and does not change.</w:t>
      </w:r>
      <w:r>
        <w:t xml:space="preserve"> Human and model composites are almost identically dispersed on the corrected scale, with standard deviations of 25.3 and 25.3 respectively, and both span most of the range: human means run from 0.0 to 97.1 and model means from 0.0 to 91.8. The difference between the two sources is therefore a shift in level rather than a difference in how widely the instrument is used. Table 5 reports the composite, domain, and interpretive-band figures on the harmonized scale.</w:t>
      </w:r>
    </w:p>
    <w:p>
      <w:pPr>
        <w:pStyle w:val="BodyText"/>
      </w:pPr>
      <w:r>
        <w:rPr>
          <w:bCs/>
          <w:b/>
        </w:rPr>
        <w:t xml:space="preserve">Table 5. Human and model Autonomy Index on the harmonized scale, 50 comparison vignettes.</w:t>
      </w:r>
    </w:p>
    <w:tbl>
      <w:tblPr>
        <w:tblStyle w:val="Table"/>
        <w:tblW w:type="pct" w:w="5000"/>
        <w:tblLook w:firstRow="1" w:lastRow="0" w:firstColumn="0" w:lastColumn="0" w:noHBand="0" w:noVBand="0" w:val="0020"/>
        <w:jc w:val="start"/>
      </w:tblPr>
      <w:tblGrid>
        <w:gridCol w:w="4925"/>
        <w:gridCol w:w="2994"/>
      </w:tblGrid>
      <w:tr>
        <w:trPr>
          <w:tblHeader w:val="true"/>
        </w:trPr>
        <w:tc>
          <w:tcPr/>
          <w:p>
            <w:pPr>
              <w:pStyle w:val="Compact"/>
              <w:jc w:val="left"/>
            </w:pPr>
            <w:r>
              <w:rPr>
                <w:bCs/>
                <w:b/>
              </w:rPr>
              <w:t xml:space="preserve">Metric</w:t>
            </w:r>
          </w:p>
        </w:tc>
        <w:tc>
          <w:tcPr/>
          <w:p>
            <w:pPr>
              <w:pStyle w:val="Compact"/>
              <w:jc w:val="left"/>
            </w:pPr>
            <w:r>
              <w:rPr>
                <w:bCs/>
                <w:b/>
              </w:rPr>
              <w:t xml:space="preserve">Value</w:t>
            </w:r>
          </w:p>
        </w:tc>
      </w:tr>
      <w:tr>
        <w:tc>
          <w:tcPr/>
          <w:p>
            <w:pPr>
              <w:pStyle w:val="Compact"/>
              <w:jc w:val="left"/>
            </w:pPr>
            <w:r>
              <w:rPr>
                <w:bCs/>
                <w:b/>
              </w:rPr>
              <w:t xml:space="preserve">Composite Autonomy Index</w:t>
            </w:r>
          </w:p>
        </w:tc>
        <w:tc>
          <w:tcPr/>
          <w:p>
            <w:pPr>
              <w:pStyle w:val="Compact"/>
            </w:pPr>
          </w:p>
        </w:tc>
      </w:tr>
      <w:tr>
        <w:tc>
          <w:tcPr/>
          <w:p>
            <w:pPr>
              <w:pStyle w:val="Compact"/>
              <w:jc w:val="left"/>
            </w:pPr>
            <w:r>
              <w:t xml:space="preserve">Human mean</w:t>
            </w:r>
          </w:p>
        </w:tc>
        <w:tc>
          <w:tcPr/>
          <w:p>
            <w:pPr>
              <w:pStyle w:val="Compact"/>
              <w:jc w:val="left"/>
            </w:pPr>
            <w:r>
              <w:t xml:space="preserve">50.2</w:t>
            </w:r>
          </w:p>
        </w:tc>
      </w:tr>
      <w:tr>
        <w:tc>
          <w:tcPr/>
          <w:p>
            <w:pPr>
              <w:pStyle w:val="Compact"/>
              <w:jc w:val="left"/>
            </w:pPr>
            <w:r>
              <w:t xml:space="preserve">Model mean</w:t>
            </w:r>
          </w:p>
        </w:tc>
        <w:tc>
          <w:tcPr/>
          <w:p>
            <w:pPr>
              <w:pStyle w:val="Compact"/>
              <w:jc w:val="left"/>
            </w:pPr>
            <w:r>
              <w:t xml:space="preserve">39.2</w:t>
            </w:r>
          </w:p>
        </w:tc>
      </w:tr>
      <w:tr>
        <w:tc>
          <w:tcPr/>
          <w:p>
            <w:pPr>
              <w:pStyle w:val="Compact"/>
              <w:jc w:val="left"/>
            </w:pPr>
            <w:r>
              <w:t xml:space="preserve">Standard deviation, human and model</w:t>
            </w:r>
          </w:p>
        </w:tc>
        <w:tc>
          <w:tcPr/>
          <w:p>
            <w:pPr>
              <w:pStyle w:val="Compact"/>
              <w:jc w:val="left"/>
            </w:pPr>
            <w:r>
              <w:t xml:space="preserve">25.3 and 25.3</w:t>
            </w:r>
          </w:p>
        </w:tc>
      </w:tr>
      <w:tr>
        <w:tc>
          <w:tcPr/>
          <w:p>
            <w:pPr>
              <w:pStyle w:val="Compact"/>
              <w:jc w:val="left"/>
            </w:pPr>
            <w:r>
              <w:t xml:space="preserve">Paired difference, human minus model</w:t>
            </w:r>
          </w:p>
        </w:tc>
        <w:tc>
          <w:tcPr/>
          <w:p>
            <w:pPr>
              <w:pStyle w:val="Compact"/>
              <w:jc w:val="left"/>
            </w:pPr>
            <w:r>
              <w:t xml:space="preserve">+11.0 (95% CI 6.3 to 15.8; t = 4.64, df 49, P = 2.6 × 10⁻⁵; d_z = 0.66)</w:t>
            </w:r>
          </w:p>
        </w:tc>
      </w:tr>
      <w:tr>
        <w:tc>
          <w:tcPr/>
          <w:p>
            <w:pPr>
              <w:pStyle w:val="Compact"/>
              <w:jc w:val="left"/>
            </w:pPr>
            <w:r>
              <w:rPr>
                <w:bCs/>
                <w:b/>
              </w:rPr>
              <w:t xml:space="preserve">Domain difference, human minus model</w:t>
            </w:r>
          </w:p>
        </w:tc>
        <w:tc>
          <w:tcPr/>
          <w:p>
            <w:pPr>
              <w:pStyle w:val="Compact"/>
            </w:pPr>
          </w:p>
        </w:tc>
      </w:tr>
      <w:tr>
        <w:tc>
          <w:tcPr/>
          <w:p>
            <w:pPr>
              <w:pStyle w:val="Compact"/>
              <w:jc w:val="left"/>
            </w:pPr>
            <w:r>
              <w:t xml:space="preserve">Factual Understanding; Intentional Action</w:t>
            </w:r>
          </w:p>
        </w:tc>
        <w:tc>
          <w:tcPr/>
          <w:p>
            <w:pPr>
              <w:pStyle w:val="Compact"/>
              <w:jc w:val="left"/>
            </w:pPr>
            <w:r>
              <w:t xml:space="preserve">+13.7; +12.3</w:t>
            </w:r>
          </w:p>
        </w:tc>
      </w:tr>
      <w:tr>
        <w:tc>
          <w:tcPr/>
          <w:p>
            <w:pPr>
              <w:pStyle w:val="Compact"/>
              <w:jc w:val="left"/>
            </w:pPr>
            <w:r>
              <w:t xml:space="preserve">Values Awareness; Rational Deliberation</w:t>
            </w:r>
          </w:p>
        </w:tc>
        <w:tc>
          <w:tcPr/>
          <w:p>
            <w:pPr>
              <w:pStyle w:val="Compact"/>
              <w:jc w:val="left"/>
            </w:pPr>
            <w:r>
              <w:t xml:space="preserve">+10.4; +7.9</w:t>
            </w:r>
          </w:p>
        </w:tc>
      </w:tr>
      <w:tr>
        <w:tc>
          <w:tcPr/>
          <w:p>
            <w:pPr>
              <w:pStyle w:val="Compact"/>
              <w:jc w:val="left"/>
            </w:pPr>
            <w:r>
              <w:t xml:space="preserve">Joint test of domain by source</w:t>
            </w:r>
          </w:p>
        </w:tc>
        <w:tc>
          <w:tcPr/>
          <w:p>
            <w:pPr>
              <w:pStyle w:val="Compact"/>
              <w:jc w:val="left"/>
            </w:pPr>
            <w:r>
              <w:t xml:space="preserve">Wald χ²(3) = 2.27, P = 0.52</w:t>
            </w:r>
          </w:p>
        </w:tc>
      </w:tr>
      <w:tr>
        <w:tc>
          <w:tcPr/>
          <w:p>
            <w:pPr>
              <w:pStyle w:val="Compact"/>
              <w:jc w:val="left"/>
            </w:pPr>
            <w:r>
              <w:rPr>
                <w:bCs/>
                <w:b/>
              </w:rPr>
              <w:t xml:space="preserve">Interpretive bands</w:t>
            </w:r>
          </w:p>
        </w:tc>
        <w:tc>
          <w:tcPr/>
          <w:p>
            <w:pPr>
              <w:pStyle w:val="Compact"/>
            </w:pPr>
          </w:p>
        </w:tc>
      </w:tr>
      <w:tr>
        <w:tc>
          <w:tcPr/>
          <w:p>
            <w:pPr>
              <w:pStyle w:val="Compact"/>
              <w:jc w:val="left"/>
            </w:pPr>
            <w:r>
              <w:t xml:space="preserve">Strong (index ≥ 80), human and model</w:t>
            </w:r>
          </w:p>
        </w:tc>
        <w:tc>
          <w:tcPr/>
          <w:p>
            <w:pPr>
              <w:pStyle w:val="Compact"/>
              <w:jc w:val="left"/>
            </w:pPr>
            <w:r>
              <w:t xml:space="preserve">8% (4 of 50) and 8% (4 of 50)</w:t>
            </w:r>
          </w:p>
        </w:tc>
      </w:tr>
      <w:tr>
        <w:tc>
          <w:tcPr/>
          <w:p>
            <w:pPr>
              <w:pStyle w:val="Compact"/>
              <w:jc w:val="left"/>
            </w:pPr>
            <w:r>
              <w:t xml:space="preserve">Adequate (60 to 80), human and model</w:t>
            </w:r>
          </w:p>
        </w:tc>
        <w:tc>
          <w:tcPr/>
          <w:p>
            <w:pPr>
              <w:pStyle w:val="Compact"/>
              <w:jc w:val="left"/>
            </w:pPr>
            <w:r>
              <w:t xml:space="preserve">30% (15 of 50) and 12% (6 of 50)</w:t>
            </w:r>
          </w:p>
        </w:tc>
      </w:tr>
      <w:tr>
        <w:tc>
          <w:tcPr/>
          <w:p>
            <w:pPr>
              <w:pStyle w:val="Compact"/>
              <w:jc w:val="left"/>
            </w:pPr>
            <w:r>
              <w:t xml:space="preserve">Reassess (index &lt; 60), human and model</w:t>
            </w:r>
          </w:p>
        </w:tc>
        <w:tc>
          <w:tcPr/>
          <w:p>
            <w:pPr>
              <w:pStyle w:val="Compact"/>
              <w:jc w:val="left"/>
            </w:pPr>
            <w:r>
              <w:t xml:space="preserve">62% (31 of 50) and 80% (40 of 50)</w:t>
            </w:r>
          </w:p>
        </w:tc>
      </w:tr>
      <w:tr>
        <w:tc>
          <w:tcPr/>
          <w:p>
            <w:pPr>
              <w:pStyle w:val="Compact"/>
              <w:jc w:val="left"/>
            </w:pPr>
            <w:r>
              <w:t xml:space="preserve">Same band assigned by both sources</w:t>
            </w:r>
          </w:p>
        </w:tc>
        <w:tc>
          <w:tcPr/>
          <w:p>
            <w:pPr>
              <w:pStyle w:val="Compact"/>
              <w:jc w:val="left"/>
            </w:pPr>
            <w:r>
              <w:t xml:space="preserve">72% (36 of 50)</w:t>
            </w:r>
          </w:p>
        </w:tc>
      </w:tr>
    </w:tbl>
    <w:p>
      <w:pPr>
        <w:pStyle w:val="BodyText"/>
      </w:pPr>
      <w:r>
        <w:t xml:space="preserve">The interpretive-band block is the clearest illustration of what the harmonization changed. Under the intermediate export humans rated 72 percent of vignettes as strongly autonomous against 8 percent for models, which was the basis of the qualitative claim in earlier drafts. On the corrected scale the two sources place exactly the same number of vignettes in the strong band, and their disagreement sits entirely at the 60-point boundary between the adequate and reassess bands.</w:t>
      </w:r>
    </w:p>
    <w:p>
      <w:pPr>
        <w:pStyle w:val="BodyText"/>
      </w:pPr>
      <w:r>
        <w:t xml:space="preserve">All results in the remainder of section 8 are computed on this harmonization. Figures reproduced from the earlier pipeline are identified in the captions, and Appendix A states where a supplementary panel still carries unharmonized score positions.</w:t>
      </w:r>
    </w:p>
    <w:bookmarkEnd w:id="63"/>
    <w:bookmarkStart w:id="67" w:name="humans-and-models-order-cases-alike"/>
    <w:p>
      <w:pPr>
        <w:pStyle w:val="Heading2"/>
      </w:pPr>
      <w:r>
        <w:rPr>
          <w:bCs/>
          <w:b/>
        </w:rPr>
        <w:t xml:space="preserve">8.2 Humans and models order cases alike</w:t>
      </w:r>
    </w:p>
    <w:p>
      <w:pPr>
        <w:pStyle w:val="FirstParagraph"/>
      </w:pPr>
      <w:r>
        <w:t xml:space="preserve">Human and model composites are strongly correlated across the 50 vignettes (Pearson r = 0.78, P = 2.3 × 10⁻¹¹; Spearman ρ = 0.78, P = 3.8 × 10⁻¹¹). Weighting vignettes by the number of human ratings contributing to the mean leaves this essentially unchanged (r = 0.76). Domain-level correlations run from 0.69 for Values Awareness to 0.81 for Intentional Action, with Factual Understanding at 0.72 and Rational Deliberation at 0.75. All of these coefficients are invariant to affine rescaling and were therefore unaffected by the harmonization described in section 8.1.</w:t>
      </w:r>
    </w:p>
    <w:p>
      <w:pPr>
        <w:pStyle w:val="BodyText"/>
      </w:pPr>
      <w:r>
        <w:t xml:space="preserve">Correlation of this size indicates close agreement on ordering: roughly 61 percent of the variance in model scores is shared with human scores. The disattenuated estimate specified in section 6.2(a) would be higher still, but it cannot be computed here because the reliability of the human reference is not estimable from this design, for the reason given in section 8.11.</w:t>
      </w:r>
    </w:p>
    <w:p>
      <w:pPr>
        <w:pStyle w:val="BodyText"/>
      </w:pPr>
      <w:r>
        <w:drawing>
          <wp:inline>
            <wp:extent cx="3543300" cy="2981325"/>
            <wp:effectExtent b="0" l="0" r="0" t="0"/>
            <wp:docPr descr="" title="" id="65" name="Picture"/>
            <a:graphic>
              <a:graphicData uri="http://schemas.openxmlformats.org/drawingml/2006/picture">
                <pic:pic>
                  <pic:nvPicPr>
                    <pic:cNvPr descr="./media/media/image4.png" id="66" name="Picture"/>
                    <pic:cNvPicPr>
                      <a:picLocks noChangeArrowheads="1" noChangeAspect="1"/>
                    </pic:cNvPicPr>
                  </pic:nvPicPr>
                  <pic:blipFill>
                    <a:blip r:embed="rId64"/>
                    <a:stretch>
                      <a:fillRect/>
                    </a:stretch>
                  </pic:blipFill>
                  <pic:spPr bwMode="auto">
                    <a:xfrm>
                      <a:off x="0" y="0"/>
                      <a:ext cx="3543300" cy="2981325"/>
                    </a:xfrm>
                    <a:prstGeom prst="rect">
                      <a:avLst/>
                    </a:prstGeom>
                    <a:noFill/>
                    <a:ln w="9525">
                      <a:noFill/>
                      <a:headEnd/>
                      <a:tailEnd/>
                    </a:ln>
                  </pic:spPr>
                </pic:pic>
              </a:graphicData>
            </a:graphic>
          </wp:inline>
        </w:drawing>
      </w:r>
    </w:p>
    <w:p>
      <w:pPr>
        <w:pStyle w:val="BodyText"/>
      </w:pPr>
      <w:r>
        <w:t xml:space="preserve">Figure 4. Human and model Autonomy Index scores across the 50 comparison vignettes on the harmonized scale. The dashed line is identity. Points are shaded by the size of the human–model difference. Thirty-six of 50 vignettes lie above identity: models assign less autonomy than human reviewers on most cases but not all, and the vertical displacement is larger at the low end of the model scale than at the high end.</w:t>
      </w:r>
    </w:p>
    <w:bookmarkEnd w:id="67"/>
    <w:bookmarkStart w:id="74" w:name="X5508e1e04326aa4444ea2da627b83446df5c211"/>
    <w:p>
      <w:pPr>
        <w:pStyle w:val="Heading2"/>
      </w:pPr>
      <w:r>
        <w:rPr>
          <w:bCs/>
          <w:b/>
        </w:rPr>
        <w:t xml:space="preserve">8.3 Models assign systematically less autonomy</w:t>
      </w:r>
    </w:p>
    <w:p>
      <w:pPr>
        <w:pStyle w:val="FirstParagraph"/>
      </w:pPr>
      <w:r>
        <w:t xml:space="preserve">The human mean is 50.2 and the model mean 39.2, a paired difference of 11.0 index points (95% CI 6.3 to 15.8; t = 4.64, df 49, P = 2.6 × 10⁻⁵; d_z = 0.66). The mixed-model estimate of the same quantity, which accounts for vignette clustering, is 11.3 points (P &lt; 0.001). Human ratings exceed model ratings on 36 of 50 vignettes.</w:t>
      </w:r>
    </w:p>
    <w:p>
      <w:pPr>
        <w:pStyle w:val="FirstParagraph"/>
      </w:pPr>
      <w:r>
        <w:t xml:space="preserve">The Bland–Altman bias is 11.0 with 95% limits of agreement from − 21.9 to 43.9, and that interval is the most practically important quantity in this section. A mean difference of 11 points is accompanied by case-level differences spanning roughly 66 points, so on a given vignette a model may exceed the human mean by twenty points or fall short of it by forty. The two sources are usable interchangeably for ranking cases and are not usable interchangeably for scoring one.</w:t>
      </w:r>
    </w:p>
    <w:p>
      <w:pPr>
        <w:pStyle w:val="BodyText"/>
      </w:pPr>
      <w:r>
        <w:drawing>
          <wp:inline>
            <wp:extent cx="4000500" cy="2295525"/>
            <wp:effectExtent b="0" l="0" r="0" t="0"/>
            <wp:docPr descr="" title="" id="69" name="Picture"/>
            <a:graphic>
              <a:graphicData uri="http://schemas.openxmlformats.org/drawingml/2006/picture">
                <pic:pic>
                  <pic:nvPicPr>
                    <pic:cNvPr descr="./media/media/image5.png" id="70" name="Picture"/>
                    <pic:cNvPicPr>
                      <a:picLocks noChangeArrowheads="1" noChangeAspect="1"/>
                    </pic:cNvPicPr>
                  </pic:nvPicPr>
                  <pic:blipFill>
                    <a:blip r:embed="rId68"/>
                    <a:stretch>
                      <a:fillRect/>
                    </a:stretch>
                  </pic:blipFill>
                  <pic:spPr bwMode="auto">
                    <a:xfrm>
                      <a:off x="0" y="0"/>
                      <a:ext cx="4000500" cy="2295525"/>
                    </a:xfrm>
                    <a:prstGeom prst="rect">
                      <a:avLst/>
                    </a:prstGeom>
                    <a:noFill/>
                    <a:ln w="9525">
                      <a:noFill/>
                      <a:headEnd/>
                      <a:tailEnd/>
                    </a:ln>
                  </pic:spPr>
                </pic:pic>
              </a:graphicData>
            </a:graphic>
          </wp:inline>
        </w:drawing>
      </w:r>
    </w:p>
    <w:p>
      <w:pPr>
        <w:pStyle w:val="BodyText"/>
      </w:pPr>
      <w:r>
        <w:t xml:space="preserve">Figure 5. Distribution of the composite Autonomy Index for human reviewers and models across the 50 vignettes on the harmonized scale. Dotted vertical lines mark the interpretive band boundaries at 60 and 80. The two distributions have almost identical spread and are displaced, which is the pattern that rank agreement conceals and a level comparison exposes.</w:t>
      </w:r>
    </w:p>
    <w:p>
      <w:pPr>
        <w:pStyle w:val="BodyText"/>
      </w:pPr>
      <w:r>
        <w:rPr>
          <w:bCs/>
          <w:b/>
        </w:rPr>
        <w:t xml:space="preserve">Variation across the score range.</w:t>
      </w:r>
      <w:r>
        <w:t xml:space="preserve"> Section 6.2(b) specifies that the offset be estimated within score stratum, because the sampling design induces regression to the mean across strata but not within them. Stratifying vignettes by quintile of the model composite, the difference is 16.9 points in the lowest quintile and 19.5 in the second, then falls to 9.4, 5.9 and 3.3 in the top three. The narrowing is monotonic above the second quintile, and the association between the model score and the size of the difference is moderate (r = − 0.33, P = 0.018).</w:t>
      </w:r>
    </w:p>
    <w:p>
      <w:pPr>
        <w:pStyle w:val="BodyText"/>
      </w:pPr>
      <w:r>
        <w:t xml:space="preserve">The substantive reading is that models and humans converge where models already judge autonomy to be substantial, and diverge most where models judge it weak. Because the comparison set was stratified on model score, part of this pattern is the regression artifact described in section 3.3, and the quintiles used here are a proxy for the selection tiers rather than the tiers themselves. The direction and monotonicity are unaffected by the harmonization in section 8.1; only the intercept moves.</w:t>
      </w:r>
    </w:p>
    <w:p>
      <w:pPr>
        <w:pStyle w:val="BodyText"/>
      </w:pPr>
      <w:r>
        <w:drawing>
          <wp:inline>
            <wp:extent cx="3543300" cy="2028825"/>
            <wp:effectExtent b="0" l="0" r="0" t="0"/>
            <wp:docPr descr="" title="" id="72" name="Picture"/>
            <a:graphic>
              <a:graphicData uri="http://schemas.openxmlformats.org/drawingml/2006/picture">
                <pic:pic>
                  <pic:nvPicPr>
                    <pic:cNvPr descr="./media/media/image6.png" id="73" name="Picture"/>
                    <pic:cNvPicPr>
                      <a:picLocks noChangeArrowheads="1" noChangeAspect="1"/>
                    </pic:cNvPicPr>
                  </pic:nvPicPr>
                  <pic:blipFill>
                    <a:blip r:embed="rId71"/>
                    <a:stretch>
                      <a:fillRect/>
                    </a:stretch>
                  </pic:blipFill>
                  <pic:spPr bwMode="auto">
                    <a:xfrm>
                      <a:off x="0" y="0"/>
                      <a:ext cx="3543300" cy="2028825"/>
                    </a:xfrm>
                    <a:prstGeom prst="rect">
                      <a:avLst/>
                    </a:prstGeom>
                    <a:noFill/>
                    <a:ln w="9525">
                      <a:noFill/>
                      <a:headEnd/>
                      <a:tailEnd/>
                    </a:ln>
                  </pic:spPr>
                </pic:pic>
              </a:graphicData>
            </a:graphic>
          </wp:inline>
        </w:drawing>
      </w:r>
    </w:p>
    <w:p>
      <w:pPr>
        <w:pStyle w:val="BodyText"/>
      </w:pPr>
      <w:r>
        <w:t xml:space="preserve">Figure 11. Human–model difference by quintile of the model composite, with 95% confidence intervals. Quintiles approximate the score tiers used for selection. The difference is largest where models assign the least autonomy and narrows as model-assigned autonomy rises.</w:t>
      </w:r>
    </w:p>
    <w:bookmarkEnd w:id="74"/>
    <w:bookmarkStart w:id="78" w:name="X2b5411280998bd2465757a6876d3ec34024a664"/>
    <w:p>
      <w:pPr>
        <w:pStyle w:val="Heading2"/>
      </w:pPr>
      <w:r>
        <w:rPr>
          <w:bCs/>
          <w:b/>
        </w:rPr>
        <w:t xml:space="preserve">8.4 The difference is present in all four domains</w:t>
      </w:r>
    </w:p>
    <w:p>
      <w:pPr>
        <w:pStyle w:val="FirstParagraph"/>
      </w:pPr>
      <w:r>
        <w:t xml:space="preserve">Paired domain comparisons give differences of 13.7 points for Factual Understanding, 12.3 for Intentional Action, 10.4 for Values Awareness, and 7.9 for Rational Deliberation. The vignette-adjusted estimates from the mixed model agree closely (12.1, 12.6, 10.0 and 8.1 points respectively) and every confidence interval excludes zero: Values Awareness 5.7 to 14.3, Factual Understanding 6.9 to 17.2, Rational Deliberation 3.8 to 12.5, and Intentional Action 8.5 to 16.7. A joint test of the domain-by-source interaction is null (Wald χ²(3) = 2.27, P = 0.52), so the difference behaves as a uniform level shift across the construct rather than as a domain-specific effect.</w:t>
      </w:r>
    </w:p>
    <w:p>
      <w:pPr>
        <w:pStyle w:val="BodyText"/>
      </w:pPr>
      <w:r>
        <w:t xml:space="preserve">The ordering of the domains is worth noting against expectation, and worth not over-reading. Earlier work on this framework anticipated that Intentional Action would show the largest gap, on the reasoning that enacted agency is the domain existing instruments measure least well. The descriptive ordering places Factual Understanding first instead, though the vignette-adjusted ordering reverses the top two and the joint test finds no significant heterogeneity across domains. What can be said is that Factual Understanding is the domain most closely tied to information stated explicitly in the vignette, and is therefore the domain where a discrepancy is least attributable to differing ethical judgment and most attributable to differing thresholds for what counts as adequate comprehension.</w:t>
      </w:r>
    </w:p>
    <w:p>
      <w:pPr>
        <w:pStyle w:val="BodyText"/>
      </w:pPr>
      <w:r>
        <w:drawing>
          <wp:inline>
            <wp:extent cx="4000500" cy="1781175"/>
            <wp:effectExtent b="0" l="0" r="0" t="0"/>
            <wp:docPr descr="" title="" id="76" name="Picture"/>
            <a:graphic>
              <a:graphicData uri="http://schemas.openxmlformats.org/drawingml/2006/picture">
                <pic:pic>
                  <pic:nvPicPr>
                    <pic:cNvPr descr="./media/media/image7.png" id="77" name="Picture"/>
                    <pic:cNvPicPr>
                      <a:picLocks noChangeArrowheads="1" noChangeAspect="1"/>
                    </pic:cNvPicPr>
                  </pic:nvPicPr>
                  <pic:blipFill>
                    <a:blip r:embed="rId75"/>
                    <a:stretch>
                      <a:fillRect/>
                    </a:stretch>
                  </pic:blipFill>
                  <pic:spPr bwMode="auto">
                    <a:xfrm>
                      <a:off x="0" y="0"/>
                      <a:ext cx="4000500" cy="1781175"/>
                    </a:xfrm>
                    <a:prstGeom prst="rect">
                      <a:avLst/>
                    </a:prstGeom>
                    <a:noFill/>
                    <a:ln w="9525">
                      <a:noFill/>
                      <a:headEnd/>
                      <a:tailEnd/>
                    </a:ln>
                  </pic:spPr>
                </pic:pic>
              </a:graphicData>
            </a:graphic>
          </wp:inline>
        </w:drawing>
      </w:r>
    </w:p>
    <w:p>
      <w:pPr>
        <w:pStyle w:val="BodyText"/>
      </w:pPr>
      <w:r>
        <w:t xml:space="preserve">Figure 6. Human–model difference by autonomy domain, with 95% confidence intervals and standardized within-subject effect sizes, on the harmonized scale.</w:t>
      </w:r>
    </w:p>
    <w:bookmarkEnd w:id="78"/>
    <w:bookmarkStart w:id="82" w:name="Xa203ef7051a9293239c92b1c3c746cb277bfec8"/>
    <w:p>
      <w:pPr>
        <w:pStyle w:val="Heading2"/>
      </w:pPr>
      <w:r>
        <w:rPr>
          <w:bCs/>
          <w:b/>
        </w:rPr>
        <w:t xml:space="preserve">8.5 The difference is present for every model, but not equally</w:t>
      </w:r>
    </w:p>
    <w:p>
      <w:pPr>
        <w:pStyle w:val="FirstParagraph"/>
      </w:pPr>
      <w:r>
        <w:t xml:space="preserve">Vignette-adjusted gaps estimated by the mixed model range from 7.0 points to 14.8 points, with every confidence interval excluding zero. In order they are Gemini 3.5 Flash Lite 7.0 (3.3 to 10.6), Claude Opus 5 7.6 (3.9 to 11.3), Qwen3.7 Max 9.3 (5.7 to 12.9), Mistral Large 2512 9.7 (6.1 to 13.3), Grok 4.5 11.3 (7.8 to 14.8), Llama 4 Maverick 12.5 (9.1 to 16.0), GPT 5.6 Terra 13.3 (9.6 to 17.1) and DeepSeek V4 Pro 14.8 (11.0 to 18.5).</w:t>
      </w:r>
    </w:p>
    <w:p>
      <w:pPr>
        <w:pStyle w:val="BodyText"/>
      </w:pPr>
      <w:r>
        <w:t xml:space="preserve">Two things follow, and they pull in different directions. Every model in the set under-attributes autonomy relative to trained reviewers, across six developers and spanning proprietary and open-weight releases, which points to something common to how these systems are built or aligned rather than to any one lineage. But the spread across models, 7.8 points, is comparable to the mean difference itself, and the extreme models differ by a factor of about two. Model choice therefore moves the effect substantially even though it does not remove it. Earlier drafts of this work, computed on the unharmonized scale, reported a spread of 7.2 points against a difference of roughly 55 and concluded that model selection was not a remedy; on the corrected scale that conclusion does not hold in the same form. Choosing a better-calibrated model is a partial mitigation, and none of the eight is calibrated to the human reference. The per-model estimates rest on unequal vignette coverage, which section 8.12 quantifies and which weakens the ordering without changing the direction for any model.</w:t>
      </w:r>
    </w:p>
    <w:p>
      <w:pPr>
        <w:pStyle w:val="BodyText"/>
      </w:pPr>
      <w:r>
        <w:drawing>
          <wp:inline>
            <wp:extent cx="4000500" cy="1971675"/>
            <wp:effectExtent b="0" l="0" r="0" t="0"/>
            <wp:docPr descr="" title="" id="80" name="Picture"/>
            <a:graphic>
              <a:graphicData uri="http://schemas.openxmlformats.org/drawingml/2006/picture">
                <pic:pic>
                  <pic:nvPicPr>
                    <pic:cNvPr descr="./media/media/image8.png" id="81" name="Picture"/>
                    <pic:cNvPicPr>
                      <a:picLocks noChangeArrowheads="1" noChangeAspect="1"/>
                    </pic:cNvPicPr>
                  </pic:nvPicPr>
                  <pic:blipFill>
                    <a:blip r:embed="rId79"/>
                    <a:stretch>
                      <a:fillRect/>
                    </a:stretch>
                  </pic:blipFill>
                  <pic:spPr bwMode="auto">
                    <a:xfrm>
                      <a:off x="0" y="0"/>
                      <a:ext cx="4000500" cy="1971675"/>
                    </a:xfrm>
                    <a:prstGeom prst="rect">
                      <a:avLst/>
                    </a:prstGeom>
                    <a:noFill/>
                    <a:ln w="9525">
                      <a:noFill/>
                      <a:headEnd/>
                      <a:tailEnd/>
                    </a:ln>
                  </pic:spPr>
                </pic:pic>
              </a:graphicData>
            </a:graphic>
          </wp:inline>
        </w:drawing>
      </w:r>
    </w:p>
    <w:p>
      <w:pPr>
        <w:pStyle w:val="BodyText"/>
      </w:pPr>
      <w:r>
        <w:t xml:space="preserve">Figure 7. Vignette-adjusted human–model gap by model, with 95% confidence intervals, on the harmonized scale. Every interval excludes zero, and the intervals for the extreme models overlap only slightly.</w:t>
      </w:r>
    </w:p>
    <w:bookmarkEnd w:id="82"/>
    <w:bookmarkStart w:id="86" w:name="distributional-divergence"/>
    <w:p>
      <w:pPr>
        <w:pStyle w:val="Heading2"/>
      </w:pPr>
      <w:r>
        <w:rPr>
          <w:bCs/>
          <w:b/>
        </w:rPr>
        <w:t xml:space="preserve">8.6 Distributional divergence</w:t>
      </w:r>
    </w:p>
    <w:p>
      <w:pPr>
        <w:pStyle w:val="FirstParagraph"/>
      </w:pPr>
      <w:r>
        <w:t xml:space="preserve">Jensen–Shannon divergence between the human and model score distributions is 0.066 for the composite, which the thresholds used in the analysis classify as small. It rises across the domains, from 0.082 for Values Awareness (small) through 0.118 for Factual Understanding and 0.157 for Rational Deliberation (both moderate) to 0.212 for Intentional Action (large). The corresponding Jensen–Shannon distances, which are a proper metric on the unit interval, run from 0.257 for the composite to 0.460 for Intentional Action.</w:t>
      </w:r>
    </w:p>
    <w:p>
      <w:pPr>
        <w:pStyle w:val="BodyText"/>
      </w:pPr>
      <w:r>
        <w:t xml:space="preserve">Kullback–Leibler divergence is close to symmetric at the composite level, 0.247 in one direction against 0.167 in the other, but becomes strongly asymmetric within domains: 2.61 against 0.32 for Factual Understanding, 2.73 against 0.46 for Rational Deliberation, and 4.35 against 0.55 for Intentional Action. The direction of the asymmetry is that human ratings visit score regions the models enter rarely rather than the reverse, and it is concentrated in the domains carrying the largest mean differences.</w:t>
      </w:r>
    </w:p>
    <w:p>
      <w:pPr>
        <w:pStyle w:val="BodyText"/>
      </w:pPr>
      <w:r>
        <w:t xml:space="preserve">At item level the divergences are small throughout. Five of the thirteen items reach the small band — IA2 (plan-fulness, 0.089), IA3 (follow-through feasibility, 0.083), FU1 (key facts recall, 0.081), RD2 (trade-off reasoning, 0.067) and VA4 (appreciation, 0.067) — and the remaining eight are negligible, the smallest being RD1 (coherence, 0.011) and IA1 (intention strength, 0.011). No single item diverges enough to account for the composite difference, which is consistent with the item-level tests reported in section 8.11.</w:t>
      </w:r>
    </w:p>
    <w:p>
      <w:pPr>
        <w:pStyle w:val="BodyText"/>
      </w:pPr>
      <w:r>
        <w:drawing>
          <wp:inline>
            <wp:extent cx="4000500" cy="1876425"/>
            <wp:effectExtent b="0" l="0" r="0" t="0"/>
            <wp:docPr descr="" title="" id="84" name="Picture"/>
            <a:graphic>
              <a:graphicData uri="http://schemas.openxmlformats.org/drawingml/2006/picture">
                <pic:pic>
                  <pic:nvPicPr>
                    <pic:cNvPr descr="./media/media/image9.png" id="85" name="Picture"/>
                    <pic:cNvPicPr>
                      <a:picLocks noChangeArrowheads="1" noChangeAspect="1"/>
                    </pic:cNvPicPr>
                  </pic:nvPicPr>
                  <pic:blipFill>
                    <a:blip r:embed="rId83"/>
                    <a:stretch>
                      <a:fillRect/>
                    </a:stretch>
                  </pic:blipFill>
                  <pic:spPr bwMode="auto">
                    <a:xfrm>
                      <a:off x="0" y="0"/>
                      <a:ext cx="4000500" cy="1876425"/>
                    </a:xfrm>
                    <a:prstGeom prst="rect">
                      <a:avLst/>
                    </a:prstGeom>
                    <a:noFill/>
                    <a:ln w="9525">
                      <a:noFill/>
                      <a:headEnd/>
                      <a:tailEnd/>
                    </a:ln>
                  </pic:spPr>
                </pic:pic>
              </a:graphicData>
            </a:graphic>
          </wp:inline>
        </w:drawing>
      </w:r>
    </w:p>
    <w:p>
      <w:pPr>
        <w:pStyle w:val="BodyText"/>
      </w:pPr>
      <w:r>
        <w:t xml:space="preserve">Figure 8. Jensen–Shannon divergence between human and model response distributions for each of the thirteen instrument items. Divergence is small or negligible at every item; the composite difference accumulates from consistent small shifts rather than from a few divergent items.</w:t>
      </w:r>
    </w:p>
    <w:bookmarkEnd w:id="86"/>
    <w:bookmarkStart w:id="90" w:name="X09162c7365b6c4ff8db251109fe6ce0a8e5a506"/>
    <w:p>
      <w:pPr>
        <w:pStyle w:val="Heading2"/>
      </w:pPr>
      <w:r>
        <w:rPr>
          <w:bCs/>
          <w:b/>
        </w:rPr>
        <w:t xml:space="preserve">8.7 Models usually fall inside the range of human judgment</w:t>
      </w:r>
    </w:p>
    <w:p>
      <w:pPr>
        <w:pStyle w:val="FirstParagraph"/>
      </w:pPr>
      <w:r>
        <w:t xml:space="preserve">Overton coverage, the proportion of model runs on which the model score falls inside the range of reasonable human scores for a vignette, averages 74.1 percent across the 50 vignettes, with a median of 94.9 percent. Thirty-eight of the 50 vignettes are covered on at least half of runs and one is covered on none. Per-model coverage under the tolerance window spans a narrow range, from 67.5 percent (DeepSeek V4 Pro) to 81.4 percent (GPT 5.6 Terra). Under the stricter definition, which uses only the vignettes with enough raters to define an observed minimum and maximum and requires the model score to fall between them, coverage falls to between 50.1 percent (DeepSeek V4 Pro) and 62.1 percent (Qwen3.7 Max).</w:t>
      </w:r>
    </w:p>
    <w:p>
      <w:pPr>
        <w:pStyle w:val="FirstParagraph"/>
      </w:pPr>
      <w:r>
        <w:t xml:space="preserve">The reading that follows is that on roughly three quarters of cases a model score is one defensible position among the range trained reviewers occupy, and that the mean difference documented in section 8.3 is carried by the remaining quarter where the model falls outside that range. This is a materially weaker claim than uniform under-attribution, and it is the single result that most constrains how the composite difference should be interpreted. Earlier drafts of this work reported per-model coverage between 9 and 23 percent on the unharmonized scale and concluded that models cover the human range poorly; that conclusion is withdrawn.</w:t>
      </w:r>
    </w:p>
    <w:p>
      <w:pPr>
        <w:pStyle w:val="BodyText"/>
      </w:pPr>
      <w:r>
        <w:t xml:space="preserve">Diversity match distinguishes two very different failures. Item-level entropy for the models runs from 0.841 to 0.947 of the human value, so models are close to but slightly below human reviewers in the spread of responses they produce. They are approximately as dispersed and centred lower. The failure is displacement rather than collapse, and it will not be fixed by widening model output distributions. Combining coverage and diversity match into a single pluralistic alignment score ranks Grok 4.5 highest at 0.872, then Qwen3.7 Max at 0.864 and GPT 5.6 Terra at 0.863, with DeepSeek V4 Pro lowest at 0.765.</w:t>
      </w:r>
    </w:p>
    <w:p>
      <w:pPr>
        <w:pStyle w:val="BodyText"/>
      </w:pPr>
      <w:r>
        <w:drawing>
          <wp:inline>
            <wp:extent cx="4000500" cy="1924050"/>
            <wp:effectExtent b="0" l="0" r="0" t="0"/>
            <wp:docPr descr="" title="" id="88" name="Picture"/>
            <a:graphic>
              <a:graphicData uri="http://schemas.openxmlformats.org/drawingml/2006/picture">
                <pic:pic>
                  <pic:nvPicPr>
                    <pic:cNvPr descr="./media/media/image10.png" id="89" name="Picture"/>
                    <pic:cNvPicPr>
                      <a:picLocks noChangeArrowheads="1" noChangeAspect="1"/>
                    </pic:cNvPicPr>
                  </pic:nvPicPr>
                  <pic:blipFill>
                    <a:blip r:embed="rId87"/>
                    <a:stretch>
                      <a:fillRect/>
                    </a:stretch>
                  </pic:blipFill>
                  <pic:spPr bwMode="auto">
                    <a:xfrm>
                      <a:off x="0" y="0"/>
                      <a:ext cx="4000500" cy="1924050"/>
                    </a:xfrm>
                    <a:prstGeom prst="rect">
                      <a:avLst/>
                    </a:prstGeom>
                    <a:noFill/>
                    <a:ln w="9525">
                      <a:noFill/>
                      <a:headEnd/>
                      <a:tailEnd/>
                    </a:ln>
                  </pic:spPr>
                </pic:pic>
              </a:graphicData>
            </a:graphic>
          </wp:inline>
        </w:drawing>
      </w:r>
    </w:p>
    <w:p>
      <w:pPr>
        <w:pStyle w:val="BodyText"/>
      </w:pPr>
      <w:r>
        <w:t xml:space="preserve">Figure 9. Overton coverage by model: the percentage of model runs on which the model score falls within the reasonable human range. All eight models fall inside the human range on roughly seven cases in ten under the tolerance window, and on between five and six in ten under the strict window.</w:t>
      </w:r>
    </w:p>
    <w:bookmarkEnd w:id="90"/>
    <w:bookmarkStart w:id="94" w:name="variance-decomposition-and-moderators"/>
    <w:p>
      <w:pPr>
        <w:pStyle w:val="Heading2"/>
      </w:pPr>
      <w:r>
        <w:rPr>
          <w:bCs/>
          <w:b/>
        </w:rPr>
        <w:t xml:space="preserve">8.8 Variance decomposition and moderators</w:t>
      </w:r>
    </w:p>
    <w:p>
      <w:pPr>
        <w:pStyle w:val="FirstParagraph"/>
      </w:pPr>
      <w:r>
        <w:t xml:space="preserve">A nested variance decomposition attributes 80.9 percent of Autonomy Index variance to vignette content, 0.7 percent to rater type, 1.6 percent to their interaction, and 16.7 percent to residual. Vignette content dominating is expected and reassuring: the instrument is responding to the cases rather than to who is scoring them. The rater-type component is small in variance terms while the mean shift it carries is significant (β = 11.32, P &lt; 0.001), which is the signature of a consistent level offset rather than of disagreement about which cases are which. The small interaction term carries the same message: the human–model difference is broadly uniform across cases rather than driven by a subset.</w:t>
      </w:r>
    </w:p>
    <w:p>
      <w:pPr>
        <w:pStyle w:val="BodyText"/>
      </w:pPr>
      <w:r>
        <w:drawing>
          <wp:inline>
            <wp:extent cx="4000500" cy="942975"/>
            <wp:effectExtent b="0" l="0" r="0" t="0"/>
            <wp:docPr descr="" title="" id="92" name="Picture"/>
            <a:graphic>
              <a:graphicData uri="http://schemas.openxmlformats.org/drawingml/2006/picture">
                <pic:pic>
                  <pic:nvPicPr>
                    <pic:cNvPr descr="./media/media/image11.png" id="93" name="Picture"/>
                    <pic:cNvPicPr>
                      <a:picLocks noChangeArrowheads="1" noChangeAspect="1"/>
                    </pic:cNvPicPr>
                  </pic:nvPicPr>
                  <pic:blipFill>
                    <a:blip r:embed="rId91"/>
                    <a:stretch>
                      <a:fillRect/>
                    </a:stretch>
                  </pic:blipFill>
                  <pic:spPr bwMode="auto">
                    <a:xfrm>
                      <a:off x="0" y="0"/>
                      <a:ext cx="4000500" cy="942975"/>
                    </a:xfrm>
                    <a:prstGeom prst="rect">
                      <a:avLst/>
                    </a:prstGeom>
                    <a:noFill/>
                    <a:ln w="9525">
                      <a:noFill/>
                      <a:headEnd/>
                      <a:tailEnd/>
                    </a:ln>
                  </pic:spPr>
                </pic:pic>
              </a:graphicData>
            </a:graphic>
          </wp:inline>
        </w:drawing>
      </w:r>
    </w:p>
    <w:p>
      <w:pPr>
        <w:pStyle w:val="BodyText"/>
      </w:pPr>
      <w:r>
        <w:t xml:space="preserve">Figure 10. Decomposition of Autonomy Index variance into vignette content, rater type, their interaction, and residual, on the harmonized scale.</w:t>
      </w:r>
    </w:p>
    <w:p>
      <w:pPr>
        <w:pStyle w:val="BodyText"/>
      </w:pPr>
      <w:r>
        <w:rPr>
          <w:bCs/>
          <w:b/>
        </w:rPr>
        <w:t xml:space="preserve">Difficulty and the contextual modifiers.</w:t>
      </w:r>
      <w:r>
        <w:t xml:space="preserve"> The interaction between rater type and case difficulty is negative and significant (β = − 0.25, P = 0.0003), consistent with the narrowing across score strata reported in section 8.3. Moderation by External Constraint (β = − 0.012, P = 0.89) and by Support Provided (β = + 0.094, P = 0.18) are both null.</w:t>
      </w:r>
    </w:p>
    <w:p>
      <w:pPr>
        <w:pStyle w:val="BodyText"/>
      </w:pPr>
      <w:r>
        <w:t xml:space="preserve">The two null moderations warrant explicit comment, because earlier drafts of this work based on the March model generation reported a significant External Constraint moderation (β = − 0.25, P = 0.007) and drew a substantive conclusion from it: that models discount autonomy most where structural constraints are heaviest. That result does not replicate in the July generation. The direction is preserved but the estimate is an order of magnitude smaller and indistinguishable from zero. The earlier claim should be withdrawn rather than carried forward, and the difference between generations reported as it stands.</w:t>
      </w:r>
    </w:p>
    <w:bookmarkEnd w:id="94"/>
    <w:bookmarkStart w:id="95" w:name="X60dbf2ac043c55d822ce7d44dc30df65480f109"/>
    <w:p>
      <w:pPr>
        <w:pStyle w:val="Heading2"/>
      </w:pPr>
      <w:r>
        <w:rPr>
          <w:bCs/>
          <w:b/>
        </w:rPr>
        <w:t xml:space="preserve">8.9 Where humans and models agree: the contextual modifiers</w:t>
      </w:r>
    </w:p>
    <w:p>
      <w:pPr>
        <w:pStyle w:val="FirstParagraph"/>
      </w:pPr>
      <w:r>
        <w:t xml:space="preserve">The two contextual modifiers behave very differently from the autonomy domains. Human and model External Constraint Index scores correlate at r = 0.82 (P = 4.5 × 10⁻¹³) across the 50 vignettes, and their means differ by 6.4 points on a 0 to 100 scale, 62.4 for humans against 68.8 for models, a difference that does not survive Holm correction across the fifteen scored quantities (adjusted P = 0.49). Support Provided Index scores correlate at r = 0.40 (P = 0.004) and differ by 3.0 points, 44.7 against 47.7, also not significant (adjusted P = 0.49). Both differences run opposite to the autonomy difference: models read slightly more constraint and slightly more support into the same cases while reading less agency into the person.</w:t>
      </w:r>
    </w:p>
    <w:p>
      <w:pPr>
        <w:pStyle w:val="BodyText"/>
      </w:pPr>
      <w:r>
        <w:t xml:space="preserve">This is the most informative negative control in the study, and it carries more weight than its brevity here suggests. ECI and SPI were rated by the same reviewers, from the same vignettes, in the same sitting, on the same 0 to 100 response format. If the human–model divergence on autonomy reflected models reading the cases differently, missing information, or applying a generally more conservative response style, it should appear on the contextual modifiers too. It does not. The autonomy difference is significant after correction for multiple comparisons and neither contextual difference is, even though all three quantities were rated by the same people from the same text in the same sitting.</w:t>
      </w:r>
    </w:p>
    <w:p>
      <w:pPr>
        <w:pStyle w:val="BodyText"/>
      </w:pPr>
      <w:r>
        <w:t xml:space="preserve">The divergence is therefore specific to the autonomy construct rather than general to the task. Models and humans read the same circumstances from the vignette and largely agree about what those circumstances are. They disagree about what those circumstances imply for the person’s agency.</w:t>
      </w:r>
    </w:p>
    <w:bookmarkEnd w:id="95"/>
    <w:bookmarkStart w:id="99" w:name="interpretive-band-concordance"/>
    <w:p>
      <w:pPr>
        <w:pStyle w:val="Heading2"/>
      </w:pPr>
      <w:r>
        <w:rPr>
          <w:bCs/>
          <w:b/>
        </w:rPr>
        <w:t xml:space="preserve">8.10 Interpretive band concordance</w:t>
      </w:r>
    </w:p>
    <w:p>
      <w:pPr>
        <w:pStyle w:val="FirstParagraph"/>
      </w:pPr>
      <w:r>
        <w:t xml:space="preserve">Humans and models assign the same interpretive band on 36 of the 50 vignettes, 72 percent. The two sources agree exactly at the top of the scale, each placing four vignettes in the strong band above 80. They differ in the middle: models place 40 of 50 in the reassess band against 31 for humans, and 6 in the adequate band against 15. The disagreement is therefore concentrated at the 60-point boundary, where a case human reviewers read as adequate is read by models as warranting reassessment, and it is absent at the top of the scale.</w:t>
      </w:r>
    </w:p>
    <w:p>
      <w:pPr>
        <w:pStyle w:val="BodyText"/>
      </w:pPr>
      <w:r>
        <w:t xml:space="preserve">These figures should be read alongside the coverage result in section 8.7. Band disagreement on roughly one case in four and coverage failure on roughly one run in four describe the same population of cases: those where the model score falls outside the range human reviewers occupy. Both are computed on the harmonization described in section 8.1 and neither is comparable to the corresponding figures in earlier drafts.</w:t>
      </w:r>
    </w:p>
    <w:p>
      <w:pPr>
        <w:pStyle w:val="Heading2"/>
      </w:pPr>
      <w:r>
        <w:rPr>
          <w:bCs/>
          <w:b/>
        </w:rPr>
        <w:t xml:space="preserve">8.11 Reliability, self-consistency, and item-level differences</w:t>
      </w:r>
    </w:p>
    <w:p>
      <w:pPr>
        <w:pStyle w:val="FirstParagraph"/>
      </w:pPr>
      <w:r>
        <w:t xml:space="preserve">Generalizability analysis of the model ratings gives a single-rater reliability of 0.837 and a panel reliability of 0.975 at the realized panel size of 7.7 models per vignette, with a vignette variance component of 637.3 against a rater component of 7.0 and a residual of 116.8. One model rater is sufficient to cross the 0.80 threshold. The same decomposition applied to the human ratings does not return an interpretable solution: the estimated vignette variance component is zero against a residual of 339.6, so no single-rating reliability can be reported for the human reference from these data. This is a consequence of the incomplete rater-by-vignette design and the small number of ratings per case rather than evidence that reviewers carry no shared signal, since the same reviewers order cases in close agreement with the models (section 8.2). It is the outstanding quantity identified in section 9.3.</w:t>
      </w:r>
    </w:p>
    <w:p>
      <w:pPr>
        <w:pStyle w:val="FirstParagraph"/>
      </w:pPr>
      <w:r>
        <w:t xml:space="preserve">Internal consistency is high and near-identical for the two sources. Polychoric ordinal alpha across the thirteen items is 0.978 for the models and 0.971 for the human reviewers, with Pearson-based values of 0.968 and 0.959. The instrument therefore behaves close to unidimensionally in both hands, which supports reporting a composite but also means the four domains should not be read as independent measurements.</w:t>
      </w:r>
    </w:p>
    <w:p>
      <w:pPr>
        <w:pStyle w:val="FirstParagraph"/>
      </w:pPr>
      <w:r>
        <w:t xml:space="preserve">Run-to-run self-consistency within model is high. Intraclass correlations across repeated runs on identical prompts range from 0.825 (DeepSeek V4 Pro) to 0.998 (Mistral Large 2512), with within-model standard deviations from 0.7 to 10.6 index points. DeepSeek V4 Pro is the outlier on both measures and is also the model with the lowest Overton coverage and the largest vignette-adjusted gap, so its behaviour should be read with that instability in mind.</w:t>
      </w:r>
    </w:p>
    <w:p>
      <w:pPr>
        <w:pStyle w:val="FirstParagraph"/>
      </w:pPr>
      <w:r>
        <w:t xml:space="preserve">Item-level comparison with Holm correction across the fifteen scored quantities identifies five differences that survive: VA1 value clarity (human 2.59 against model 2.18, adjusted P = 0.002), VA2 value stability (2.56 against 2.10, P = 0.001), VA4 appreciation (1.61 against 1.15, P = 0.035), IA2 plan-fulness (1.69 against 1.07, P = 0.0004) and IA3 follow-through feasibility (1.99 against 1.25, P &lt; 0.001). The remaining eight autonomy items and both contextual modifiers do not differ after correction, though every one of the thirteen items runs in the same direction. The composite difference is therefore an accumulation of consistent small item-level shifts, most individually below the threshold for significance, rather than a large difference on a few items.</w:t>
      </w:r>
    </w:p>
    <w:p>
      <w:pPr>
        <w:pStyle w:val="Heading2"/>
      </w:pPr>
      <w:r>
        <w:rPr>
          <w:bCs/>
          <w:b/>
        </w:rPr>
        <w:t xml:space="preserve">8.12 Model coverage, validity, and not-applicable responses</w:t>
      </w:r>
    </w:p>
    <w:p>
      <w:pPr>
        <w:pStyle w:val="FirstParagraph"/>
      </w:pPr>
      <w:r>
        <w:t xml:space="preserve">Section 5.2 specifies ten runs per model per vignette, so the July run attempted 500 scorings per model and 4,000 in total. It returned 3,431 valid parsed responses, an overall validity rate of 85.8 percent, and that rate varies substantially by model. Table 6 reports coverage and validity for each.</w:t>
      </w:r>
    </w:p>
    <w:p>
      <w:pPr>
        <w:pStyle w:val="BodyText"/>
      </w:pPr>
      <w:r>
        <w:rPr>
          <w:bCs/>
          <w:b/>
        </w:rPr>
        <w:t xml:space="preserve">Table 6. Model coverage and validity, July 2026 run, 50 comparison vignettes at ten runs per model per vignette.</w:t>
      </w:r>
    </w:p>
    <w:tbl>
      <w:tblPr>
        <w:tblStyle w:val="Table"/>
        <w:tblW w:type="pct" w:w="4889"/>
        <w:tblLook w:firstRow="1" w:lastRow="0" w:firstColumn="0" w:lastColumn="0" w:noHBand="0" w:noVBand="0" w:val="0020"/>
        <w:jc w:val="start"/>
      </w:tblPr>
      <w:tblGrid>
        <w:gridCol w:w="2600"/>
        <w:gridCol w:w="1500"/>
        <w:gridCol w:w="1900"/>
        <w:gridCol w:w="1743"/>
      </w:tblGrid>
      <w:tr>
        <w:trPr>
          <w:tblHeader w:val="true"/>
        </w:trPr>
        <w:tc>
          <w:tcPr/>
          <w:p>
            <w:pPr>
              <w:pStyle w:val="Compact"/>
              <w:jc w:val="left"/>
            </w:pPr>
            <w:r>
              <w:rPr>
                <w:bCs/>
                <w:b/>
              </w:rPr>
              <w:t xml:space="preserve">Model</w:t>
            </w:r>
          </w:p>
        </w:tc>
        <w:tc>
          <w:tcPr/>
          <w:p>
            <w:pPr>
              <w:pStyle w:val="Compact"/>
              <w:jc w:val="left"/>
            </w:pPr>
            <w:r>
              <w:rPr>
                <w:bCs/>
                <w:b/>
              </w:rPr>
              <w:t xml:space="preserve">Vignettes scored (of 50)</w:t>
            </w:r>
          </w:p>
        </w:tc>
        <w:tc>
          <w:tcPr/>
          <w:p>
            <w:pPr>
              <w:pStyle w:val="Compact"/>
              <w:jc w:val="left"/>
            </w:pPr>
            <w:r>
              <w:rPr>
                <w:bCs/>
                <w:b/>
              </w:rPr>
              <w:t xml:space="preserve">Mean valid runs per vignette (of 10)</w:t>
            </w:r>
          </w:p>
        </w:tc>
        <w:tc>
          <w:tcPr/>
          <w:p>
            <w:pPr>
              <w:pStyle w:val="Compact"/>
              <w:jc w:val="left"/>
            </w:pPr>
            <w:r>
              <w:rPr>
                <w:bCs/>
                <w:b/>
              </w:rPr>
              <w:t xml:space="preserve">Validity rate</w:t>
            </w:r>
          </w:p>
        </w:tc>
      </w:tr>
      <w:tr>
        <w:tc>
          <w:tcPr/>
          <w:p>
            <w:pPr>
              <w:pStyle w:val="Compact"/>
              <w:jc w:val="left"/>
            </w:pPr>
            <w:r>
              <w:t xml:space="preserve">Grok 4.5</w:t>
            </w:r>
          </w:p>
        </w:tc>
        <w:tc>
          <w:tcPr/>
          <w:p>
            <w:pPr>
              <w:pStyle w:val="Compact"/>
              <w:jc w:val="left"/>
            </w:pPr>
            <w:r>
              <w:t xml:space="preserve">50</w:t>
            </w:r>
          </w:p>
        </w:tc>
        <w:tc>
          <w:tcPr/>
          <w:p>
            <w:pPr>
              <w:pStyle w:val="Compact"/>
              <w:jc w:val="left"/>
            </w:pPr>
            <w:r>
              <w:t xml:space="preserve">9.8</w:t>
            </w:r>
          </w:p>
        </w:tc>
        <w:tc>
          <w:tcPr/>
          <w:p>
            <w:pPr>
              <w:pStyle w:val="Compact"/>
              <w:jc w:val="left"/>
            </w:pPr>
            <w:r>
              <w:t xml:space="preserve">98.0%</w:t>
            </w:r>
          </w:p>
        </w:tc>
      </w:tr>
      <w:tr>
        <w:tc>
          <w:tcPr/>
          <w:p>
            <w:pPr>
              <w:pStyle w:val="Compact"/>
              <w:jc w:val="left"/>
            </w:pPr>
            <w:r>
              <w:t xml:space="preserve">Llama 4 Maverick</w:t>
            </w:r>
          </w:p>
        </w:tc>
        <w:tc>
          <w:tcPr/>
          <w:p>
            <w:pPr>
              <w:pStyle w:val="Compact"/>
              <w:jc w:val="left"/>
            </w:pPr>
            <w:r>
              <w:t xml:space="preserve">49</w:t>
            </w:r>
          </w:p>
        </w:tc>
        <w:tc>
          <w:tcPr/>
          <w:p>
            <w:pPr>
              <w:pStyle w:val="Compact"/>
              <w:jc w:val="left"/>
            </w:pPr>
            <w:r>
              <w:t xml:space="preserve">10.0</w:t>
            </w:r>
          </w:p>
        </w:tc>
        <w:tc>
          <w:tcPr/>
          <w:p>
            <w:pPr>
              <w:pStyle w:val="Compact"/>
              <w:jc w:val="left"/>
            </w:pPr>
            <w:r>
              <w:t xml:space="preserve">98.0%</w:t>
            </w:r>
          </w:p>
        </w:tc>
      </w:tr>
      <w:tr>
        <w:tc>
          <w:tcPr/>
          <w:p>
            <w:pPr>
              <w:pStyle w:val="Compact"/>
              <w:jc w:val="left"/>
            </w:pPr>
            <w:r>
              <w:t xml:space="preserve">Qwen3.7 Max</w:t>
            </w:r>
          </w:p>
        </w:tc>
        <w:tc>
          <w:tcPr/>
          <w:p>
            <w:pPr>
              <w:pStyle w:val="Compact"/>
              <w:jc w:val="left"/>
            </w:pPr>
            <w:r>
              <w:t xml:space="preserve">50</w:t>
            </w:r>
          </w:p>
        </w:tc>
        <w:tc>
          <w:tcPr/>
          <w:p>
            <w:pPr>
              <w:pStyle w:val="Compact"/>
              <w:jc w:val="left"/>
            </w:pPr>
            <w:r>
              <w:t xml:space="preserve">9.6</w:t>
            </w:r>
          </w:p>
        </w:tc>
        <w:tc>
          <w:tcPr/>
          <w:p>
            <w:pPr>
              <w:pStyle w:val="Compact"/>
              <w:jc w:val="left"/>
            </w:pPr>
            <w:r>
              <w:t xml:space="preserve">96.0%</w:t>
            </w:r>
          </w:p>
        </w:tc>
      </w:tr>
      <w:tr>
        <w:tc>
          <w:tcPr/>
          <w:p>
            <w:pPr>
              <w:pStyle w:val="Compact"/>
              <w:jc w:val="left"/>
            </w:pPr>
            <w:r>
              <w:t xml:space="preserve">Mistral Large 2512</w:t>
            </w:r>
          </w:p>
        </w:tc>
        <w:tc>
          <w:tcPr/>
          <w:p>
            <w:pPr>
              <w:pStyle w:val="Compact"/>
              <w:jc w:val="left"/>
            </w:pPr>
            <w:r>
              <w:t xml:space="preserve">47</w:t>
            </w:r>
          </w:p>
        </w:tc>
        <w:tc>
          <w:tcPr/>
          <w:p>
            <w:pPr>
              <w:pStyle w:val="Compact"/>
              <w:jc w:val="left"/>
            </w:pPr>
            <w:r>
              <w:t xml:space="preserve">9.9</w:t>
            </w:r>
          </w:p>
        </w:tc>
        <w:tc>
          <w:tcPr/>
          <w:p>
            <w:pPr>
              <w:pStyle w:val="Compact"/>
              <w:jc w:val="left"/>
            </w:pPr>
            <w:r>
              <w:t xml:space="preserve">93.1%</w:t>
            </w:r>
          </w:p>
        </w:tc>
      </w:tr>
      <w:tr>
        <w:tc>
          <w:tcPr/>
          <w:p>
            <w:pPr>
              <w:pStyle w:val="Compact"/>
              <w:jc w:val="left"/>
            </w:pPr>
            <w:r>
              <w:t xml:space="preserve">DeepSeek V4 Pro</w:t>
            </w:r>
          </w:p>
        </w:tc>
        <w:tc>
          <w:tcPr/>
          <w:p>
            <w:pPr>
              <w:pStyle w:val="Compact"/>
              <w:jc w:val="left"/>
            </w:pPr>
            <w:r>
              <w:t xml:space="preserve">48</w:t>
            </w:r>
          </w:p>
        </w:tc>
        <w:tc>
          <w:tcPr/>
          <w:p>
            <w:pPr>
              <w:pStyle w:val="Compact"/>
              <w:jc w:val="left"/>
            </w:pPr>
            <w:r>
              <w:t xml:space="preserve">8.4</w:t>
            </w:r>
          </w:p>
        </w:tc>
        <w:tc>
          <w:tcPr/>
          <w:p>
            <w:pPr>
              <w:pStyle w:val="Compact"/>
              <w:jc w:val="left"/>
            </w:pPr>
            <w:r>
              <w:t xml:space="preserve">80.6%</w:t>
            </w:r>
          </w:p>
        </w:tc>
      </w:tr>
      <w:tr>
        <w:tc>
          <w:tcPr/>
          <w:p>
            <w:pPr>
              <w:pStyle w:val="Compact"/>
              <w:jc w:val="left"/>
            </w:pPr>
            <w:r>
              <w:t xml:space="preserve">Claude Opus 5</w:t>
            </w:r>
          </w:p>
        </w:tc>
        <w:tc>
          <w:tcPr/>
          <w:p>
            <w:pPr>
              <w:pStyle w:val="Compact"/>
              <w:jc w:val="left"/>
            </w:pPr>
            <w:r>
              <w:t xml:space="preserve">45</w:t>
            </w:r>
          </w:p>
        </w:tc>
        <w:tc>
          <w:tcPr/>
          <w:p>
            <w:pPr>
              <w:pStyle w:val="Compact"/>
              <w:jc w:val="left"/>
            </w:pPr>
            <w:r>
              <w:t xml:space="preserve">8.8</w:t>
            </w:r>
          </w:p>
        </w:tc>
        <w:tc>
          <w:tcPr/>
          <w:p>
            <w:pPr>
              <w:pStyle w:val="Compact"/>
              <w:jc w:val="left"/>
            </w:pPr>
            <w:r>
              <w:t xml:space="preserve">79.2%</w:t>
            </w:r>
          </w:p>
        </w:tc>
      </w:tr>
      <w:tr>
        <w:tc>
          <w:tcPr/>
          <w:p>
            <w:pPr>
              <w:pStyle w:val="Compact"/>
              <w:jc w:val="left"/>
            </w:pPr>
            <w:r>
              <w:t xml:space="preserve">GPT 5.6 Terra</w:t>
            </w:r>
          </w:p>
        </w:tc>
        <w:tc>
          <w:tcPr/>
          <w:p>
            <w:pPr>
              <w:pStyle w:val="Compact"/>
              <w:jc w:val="left"/>
            </w:pPr>
            <w:r>
              <w:t xml:space="preserve">47</w:t>
            </w:r>
          </w:p>
        </w:tc>
        <w:tc>
          <w:tcPr/>
          <w:p>
            <w:pPr>
              <w:pStyle w:val="Compact"/>
              <w:jc w:val="left"/>
            </w:pPr>
            <w:r>
              <w:t xml:space="preserve">8.0</w:t>
            </w:r>
          </w:p>
        </w:tc>
        <w:tc>
          <w:tcPr/>
          <w:p>
            <w:pPr>
              <w:pStyle w:val="Compact"/>
              <w:jc w:val="left"/>
            </w:pPr>
            <w:r>
              <w:t xml:space="preserve">75.2%</w:t>
            </w:r>
          </w:p>
        </w:tc>
      </w:tr>
      <w:tr>
        <w:tc>
          <w:tcPr/>
          <w:p>
            <w:pPr>
              <w:pStyle w:val="Compact"/>
              <w:jc w:val="left"/>
            </w:pPr>
            <w:r>
              <w:t xml:space="preserve">Gemini 3.5 Flash Lite</w:t>
            </w:r>
          </w:p>
        </w:tc>
        <w:tc>
          <w:tcPr/>
          <w:p>
            <w:pPr>
              <w:pStyle w:val="Compact"/>
              <w:jc w:val="left"/>
            </w:pPr>
            <w:r>
              <w:t xml:space="preserve">41</w:t>
            </w:r>
          </w:p>
        </w:tc>
        <w:tc>
          <w:tcPr/>
          <w:p>
            <w:pPr>
              <w:pStyle w:val="Compact"/>
              <w:jc w:val="left"/>
            </w:pPr>
            <w:r>
              <w:t xml:space="preserve">8.1</w:t>
            </w:r>
          </w:p>
        </w:tc>
        <w:tc>
          <w:tcPr/>
          <w:p>
            <w:pPr>
              <w:pStyle w:val="Compact"/>
              <w:jc w:val="left"/>
            </w:pPr>
            <w:r>
              <w:t xml:space="preserve">66.4%</w:t>
            </w:r>
          </w:p>
        </w:tc>
      </w:tr>
    </w:tbl>
    <w:p>
      <w:pPr>
        <w:pStyle w:val="FirstParagraph"/>
      </w:pPr>
      <w:r>
        <w:t xml:space="preserve">Valid runs per vignette are averaged over the vignettes a model scored at least once, so the validity rate is the product of the two preceding columns divided by ten. [ADD BEFORE SUBMISSION: the exact version identifier, provider, access date, and decoding parameters for each model, from the run log. Section 5.2 promises these and they are not recoverable from the analysis outputs.]</w:t>
      </w:r>
    </w:p>
    <w:p>
      <w:pPr>
        <w:pStyle w:val="FirstParagraph"/>
      </w:pPr>
      <w:r>
        <w:t xml:space="preserve">Two features of this table matter for interpretation. Coverage is incomplete for six of the eight models: Gemini 3.5 Flash Lite returned at least one valid score on 41 of the 50 vignettes, Claude Opus 5 on 45, and Mistral Large 2512 and GPT 5.6 Terra on 47 each. The per-model gaps in section 8.5 are therefore estimated on partly different vignette subsets, which the mixed model handles by conditioning on vignette rather than by imputation, but which no analysis can fully repair.</w:t>
      </w:r>
    </w:p>
    <w:p>
      <w:pPr>
        <w:pStyle w:val="FirstParagraph"/>
      </w:pPr>
      <w:r>
        <w:t xml:space="preserve">The second feature invites a reading that the data do not support. The model with the smallest gap, Gemini 3.5 Flash Lite, is also the model with the lowest validity, which suggests that differential attrition might explain the per-model ordering in section 8.5. Across the eight models the rank correlation between validity rate and vignette-adjusted gap is 0.26 (P = 0.53), and the two models with the largest gaps have validity rates of 75.2 and 80.6 percent, in the same range as the model with the smallest gap. Differential validity is a genuine limitation of the per-model comparison; it is not a sufficient explanation of it.</w:t>
      </w:r>
    </w:p>
    <w:p>
      <w:pPr>
        <w:pStyle w:val="FirstParagraph"/>
      </w:pPr>
      <w:r>
        <w:rPr>
          <w:b/>
        </w:rPr>
        <w:t xml:space="preserve">Not-applicable responses.</w:t>
      </w:r>
      <w:r>
        <w:t xml:space="preserve"> The two sources differ sharply in how often they decline to score an item. Models recorded no not-applicable responses at all, on any item, for any vignette, giving an overall model rate of 0.00 percent. Human reviewers recorded not-applicable on 22.5 percent of items. The human rate varies by domain, from 19.9 percent for Values Awareness through 22.5 percent for Intentional Action and 30.4 percent for Rational Deliberation to 33.1 percent for Factual Understanding, and by item from 6.4 percent at VA1 (value clarity) to 38.4 percent at RD2 (trade-off reasoning). Neither contextual modifier drew a single not-applicable response from either source.</w:t>
      </w:r>
    </w:p>
    <w:p>
      <w:pPr>
        <w:pStyle w:val="FirstParagraph"/>
      </w:pPr>
      <w:r>
        <w:t xml:space="preserve">Section 3.5 anticipates this contrast as a substantive finding about divergent thresholds for what counts as sufficient evidence, and it is the most direct behavioural difference in the study. Where a vignette is silent on whether a subject weighed trade-offs, a trained reviewer records that the material does not support a judgment and a model returns a number anyway. The obvious mechanistic hypothesis is that forced scoring depresses model composites, because an item a reviewer would have excluded from the domain mean is instead scored low. These data do not support that as the explanation. If it held, the domains with the highest human not-applicable rates should show the largest human–model gaps; the rank correlation across the four domains is 0.40 (P = 0.60), and Rational Deliberation, which has the second-highest not-applicable rate, has the smallest gap. Forced scoring is a real behavioural difference and is not, on this evidence, the mechanism behind the level difference. Testing it properly would require rescoring the models under conditions in which they will actually use the not-applicable option, which cannot be done post hoc.</w:t>
      </w:r>
    </w:p>
    <w:bookmarkEnd w:id="99"/>
    <w:bookmarkEnd w:id="100"/>
    <w:bookmarkStart w:id="106" w:name="discussion"/>
    <w:p>
      <w:pPr>
        <w:pStyle w:val="Heading1"/>
      </w:pPr>
      <w:r>
        <w:rPr>
          <w:bCs/>
          <w:b/>
        </w:rPr>
        <w:t xml:space="preserve">Discussion</w:t>
      </w:r>
    </w:p>
    <w:p>
      <w:pPr>
        <w:pStyle w:val="FirstParagraph"/>
      </w:pPr>
      <w:r>
        <w:t xml:space="preserve">Across a matched comparison on a common instrument, current large language models attribute less autonomy to patients in clinical-ethics vignettes than trained human reviewers do, by a mean of 11.0 index points on a 0 to 100 scale. They are not disordered relative to humans and they are not less variable. They order cases closely, disperse almost identically, and sit lower.</w:t>
      </w:r>
    </w:p>
    <w:p>
      <w:pPr>
        <w:pStyle w:val="BodyText"/>
      </w:pPr>
      <w:r>
        <w:t xml:space="preserve">Two features of the result carry the most practical weight, and they qualify each other. Every model tested under-attributes autonomy, across six developers and both proprietary and open-weight releases, which points to something common to how these systems are built or aligned rather than to any one training pipeline. But the vignette-adjusted gap varies by a factor of about two across the eight, from 7.0 to 14.8 points, so model choice is a partial mitigation even though no model in the set reaches the human reference. The contextual-modifier result narrows the explanation further: models and humans do not differ significantly about the constraints surrounding a decision, and do differ about the agency of the person making it. What differs is the inferential step from circumstance to autonomy, not the reading of the circumstance. One behavioural difference is starker than any score gap: human reviewers marked an item as unsupported by the vignette, and so declined to score it, on 22.5 percent of items, and the models did so on none at all. That is a difference in willingness to say that the evidence runs out, and it is not explained by, nor does it explain, the difference in level.</w:t>
      </w:r>
    </w:p>
    <w:p>
      <w:pPr>
        <w:pStyle w:val="BodyText"/>
      </w:pPr>
      <w:r>
        <w:t xml:space="preserve">The magnitude is moderate and the case-level variability is wide. An autonomy-support tool built on these systems would under-recognize patient capacity by roughly 11 index points on average, most in cases where the model already judges autonomy to be weak, and would fall outside the range of trained human judgment on about one case in four. That is the direction of error that tends toward paternalism, and it is concentrated where the stakes for the patient are highest. The appropriate response is human oversight in capacity-sensitive decisions rather than model substitution, and calibration to the range of defensible human judgment rather than to its central tendency. The coverage result makes the second half of that recommendation concrete: on three quarters of cases the model already sits inside the range of defensible views, so the target is the remaining quarter rather than a wholesale recalibration.</w:t>
      </w:r>
    </w:p>
    <w:bookmarkStart w:id="101" w:name="X4f8a322dfdc01ddbcaa94392d65e2d8b5001590"/>
    <w:p>
      <w:pPr>
        <w:pStyle w:val="Heading2"/>
      </w:pPr>
      <w:r>
        <w:rPr>
          <w:bCs/>
          <w:b/>
        </w:rPr>
        <w:t xml:space="preserve">9.1 What the human ratings show about human judgment</w:t>
      </w:r>
    </w:p>
    <w:p>
      <w:pPr>
        <w:pStyle w:val="FirstParagraph"/>
      </w:pPr>
      <w:r>
        <w:t xml:space="preserve">The human data are worth reading in their own right and not only as the baseline the models are measured against. Trained reviewers assigned a mean composite of 50.2, placing the typical case below the reassess threshold of 60, and their ratings spanned nearly the full range of the scale, from 0.0 to 97.1. Reviewers were not uniformly generous: they distinguished sharply between cases, and vignette content accounted for 80.9 percent of total score variance against 0.7 percent for rater type. When ethicists and clinicians assess autonomy in a structured way, almost all of what moves the score is the case.</w:t>
      </w:r>
    </w:p>
    <w:p>
      <w:pPr>
        <w:pStyle w:val="BodyText"/>
      </w:pPr>
      <w:r>
        <w:t xml:space="preserve">The domain profile is flatter for reviewers than for models, though both order the domains the same way. Human domain means span 6.9 points, from 47.7 for Factual Understanding to 54.7 for Values Awareness, with Rational Deliberation and Intentional Action between them. Model means span 10.2 points across the same domains, from 34.0 to 44.3. Both sources rate Factual Understanding lowest and Values Awareness highest; models simply separate the domains further than reviewers do.</w:t>
      </w:r>
    </w:p>
    <w:p>
      <w:pPr>
        <w:pStyle w:val="BodyText"/>
      </w:pPr>
      <w:r>
        <w:t xml:space="preserve">Two readings are available and this study cannot separate them. Reviewers may hold a genuinely integrated view of autonomy in which the components move together, which is closer to how the philosophical accounts describe autonomous agency than the Appelbaum model’s componential structure suggests. Or the flat profile may be a halo effect, in which an overall impression of the case propagates across all thirteen items. The high inter-domain correlation in the human ratings (mean r = 0.79) is consistent with either. Distinguishing them would require an item-order manipulation or a design in which reviewers score domains in isolation, and is a question about human ethical judgment rather than about models.</w:t>
      </w:r>
    </w:p>
    <w:p>
      <w:pPr>
        <w:pStyle w:val="BodyText"/>
      </w:pPr>
      <w:r>
        <w:t xml:space="preserve">The four domains were also highly intercorrelated in the human ratings (mean r = 0.79), so reviewers were not treating them as independent judgments so much as facets of a single overall impression. Whether that reflects the construct, the instrument, or how expert judgment actually works is not resolvable here, and it is the question a dedicated study of human ethical reasoning would take up.</w:t>
      </w:r>
    </w:p>
    <w:bookmarkEnd w:id="101"/>
    <w:bookmarkStart w:id="102" w:name="values-in-practice-and-value-in-care"/>
    <w:p>
      <w:pPr>
        <w:pStyle w:val="Heading2"/>
      </w:pPr>
      <w:r>
        <w:rPr>
          <w:bCs/>
          <w:b/>
        </w:rPr>
        <w:t xml:space="preserve">9.2 Values in practice, and value in care</w:t>
      </w:r>
    </w:p>
    <w:p>
      <w:pPr>
        <w:pStyle w:val="FirstParagraph"/>
      </w:pPr>
      <w:r>
        <w:t xml:space="preserve">An instrument that forces an assessment of autonomy into thirteen scored components does something beyond producing a number. It makes explicit which considerations a rater actually weighted, and by how much. Applied to human reviewers it externalizes professional judgment that normally stays tacit; applied to models it surfaces dispositions that are otherwise invisible in fluent prose. In both cases the artifact of interest is the profile across domains rather than the composite, because the profile records what was valued.</w:t>
      </w:r>
    </w:p>
    <w:p>
      <w:pPr>
        <w:pStyle w:val="BodyText"/>
      </w:pPr>
      <w:r>
        <w:t xml:space="preserve">This has a practical extension. Decisions about aggressive treatment, discharge planning, surrogate authority, and resource allocation carry both ethical and economic weight, and the two are usually discussed in separate registers. A structured record of how autonomy was assessed at the point of decision makes it possible to ask whether decisions that honor patient agency align with or diverge from decisions that deliver high-value care, rather than assuming the two either coincide or conflict. The present study does not answer that question. It supplies the measurement layer that would let it be asked with evidence rather than assertion, and the domain-level profile is what makes that possible, since the composite alone would collapse exactly the distinctions that matter.</w:t>
      </w:r>
    </w:p>
    <w:bookmarkEnd w:id="102"/>
    <w:bookmarkStart w:id="103" w:name="what-this-study-does-not-establish"/>
    <w:p>
      <w:pPr>
        <w:pStyle w:val="Heading2"/>
      </w:pPr>
      <w:r>
        <w:rPr>
          <w:bCs/>
          <w:b/>
        </w:rPr>
        <w:t xml:space="preserve">9.3 What this study does not establish</w:t>
      </w:r>
    </w:p>
    <w:p>
      <w:pPr>
        <w:pStyle w:val="FirstParagraph"/>
      </w:pPr>
      <w:r>
        <w:t xml:space="preserve">The magnitude of the difference is established on the corrected harmonization, but the claim that humans are correct is not: reviewers constitute a reference standard, not ground truth, and a comparison of this design cannot say whether an 11-point difference means models are too conservative, human reviewers too generous, or both. The instrument fixes what is being measured; it does not adjudicate who measures it well.</w:t>
      </w:r>
    </w:p>
    <w:p>
      <w:pPr>
        <w:pStyle w:val="BodyText"/>
      </w:pPr>
      <w:r>
        <w:t xml:space="preserve">Two things would settle most of what remains open. A reliability estimate for the human reference would bound how much of the residual disagreement is human noise rather than human–model difference; the present design does not support one, because the variance decomposition reported in section 8.11 returns a degenerate solution on the human ratings, and a complete or near-complete rater-by-vignette design would be required to obtain it. And a replication on a randomly drawn sample of the corpus would remove the selection dependencies that section 3.3 documents and section 6.2 can only partly correct.</w:t>
      </w:r>
    </w:p>
    <w:bookmarkEnd w:id="103"/>
    <w:bookmarkStart w:id="104" w:name="limitations"/>
    <w:p>
      <w:pPr>
        <w:pStyle w:val="Heading2"/>
      </w:pPr>
      <w:r>
        <w:rPr>
          <w:bCs/>
          <w:b/>
        </w:rPr>
        <w:t xml:space="preserve">10 Limitations</w:t>
      </w:r>
    </w:p>
    <w:p>
      <w:pPr>
        <w:pStyle w:val="FirstParagraph"/>
      </w:pPr>
      <w:r>
        <w:t xml:space="preserve">The human–model difference is a mean over cases with wide case-level variability. The 95 percent limits of agreement span − 21.9 to 43.9 index points, so on an individual vignette a model score may exceed the human mean by twenty points or fall short of it by forty. The aggregate difference is well estimated; the per-case difference is not. No statement in this study should be read as a prediction about a particular case.</w:t>
      </w:r>
    </w:p>
    <w:p>
      <w:pPr>
        <w:pStyle w:val="BodyText"/>
      </w:pPr>
      <w:r>
        <w:t xml:space="preserve">The analyzed dataset comprises 173 of the 175 ratings submitted at the analysis freeze, the difference being ratings excluded under the domain-completeness rule of section 3.5. Per-vignette weighting and the reliability estimates that depend on rating counts are conditional on that distribution. Data collection continued after the freeze and the platform has since recorded further submissions, so the reference standard reported here is an interim one.</w:t>
      </w:r>
    </w:p>
    <w:p>
      <w:pPr>
        <w:pStyle w:val="BodyText"/>
      </w:pPr>
      <w:r>
        <w:t xml:space="preserve">Vignettes are static written cases and cannot capture the interactive, temporally extended character of an actual capacity assessment, in which a clinician can probe, re-explain, and observe change. Scores therefore describe autonomy as depicted rather than autonomy as it would be established at the bedside.</w:t>
      </w:r>
    </w:p>
    <w:p>
      <w:pPr>
        <w:pStyle w:val="BodyText"/>
      </w:pPr>
      <w:r>
        <w:t xml:space="preserve">Anchors are generic rather than item-specific, which places interpretive weight on the rater and is a plausible contributor to observed between-rater variance.</w:t>
      </w:r>
    </w:p>
    <w:p>
      <w:pPr>
        <w:pStyle w:val="BodyText"/>
      </w:pPr>
      <w:r>
        <w:t xml:space="preserve">Two item pairs contain overlapping wording. RD1 asks whether reasoning is coherent and consistent while RD3 asks whether the decision is consistent with stated values and understanding. VA1 asks how clearly the subject articulates values relevant to the decision while VA3 asks whether the subject shows awareness of how their values relate to the decision. In each case a rater may read the first item as already covering the second. Inter-item correlations for these pairs are reported, and if they approach the reliability ceiling the items are candidates for rewording rather than for post hoc reinterpretation.</w:t>
      </w:r>
    </w:p>
    <w:p>
      <w:pPr>
        <w:pStyle w:val="BodyText"/>
      </w:pPr>
      <w:r>
        <w:t xml:space="preserve">The rater-by-vignette design is incomplete, so rater effects are estimated from partially overlapping data and their variance component is correspondingly imprecise. Confidence intervals on the variance components and on the derived reliability coefficients are reported rather than suppressed.</w:t>
      </w:r>
    </w:p>
    <w:p>
      <w:pPr>
        <w:pStyle w:val="BodyText"/>
      </w:pPr>
      <w:r>
        <w:t xml:space="preserve">Ratings are unevenly distributed across reviewers. The five most active reviewers contributed 64 of 173 ratings, 37.0 percent of the corpus, so the rater variance component is estimated disproportionately from a small number of individuals and its confidence interval is correspondingly wide. This is the reason profile-likelihood intervals on the variance components are reported in section 6.1 rather than point estimates alone.</w:t>
      </w:r>
    </w:p>
    <w:p>
      <w:pPr>
        <w:pStyle w:val="BodyText"/>
      </w:pPr>
      <w:r>
        <w:t xml:space="preserve">The comparison set was stratified on model-derived scores rather than sampled at random, and this is the most consequential limitation of the design. Because the stratifying variable is the quantity under comparison, the comparison set is not a sample of the corpus in any respect that bears on the primary analysis. Descriptive distributions therefore characterize the comparison set alone: the equal allocation across five score tiers guarantees a flatter distribution of model scores than the corpus contains, so no statement about the prevalence of low-autonomy cases can be read off these 50 vignettes.</w:t>
      </w:r>
    </w:p>
    <w:p>
      <w:pPr>
        <w:pStyle w:val="BodyText"/>
      </w:pPr>
      <w:r>
        <w:t xml:space="preserve">The three biases this induces are set out in section 3.3 and handled analytically in section 6.2, with differing success. The regression-to-the-mean artifact in the level comparison is the best handled: because it operates across score tiers and not within them, estimating the offset within tier avoids it by construction rather than correcting for it, and the tier-specific estimates are reported as primary for that reason. Tier-weighting of the correlations is weaker, since it recovers a corpus-referenced estimate only under the assumption that the human–model relationship is homogeneous within tier, which cannot be tested with ten vignettes per stratum. And no adjustment addresses the oversampling of high-disagreement vignettes, whose effect on agreement statistics is real but not separately identifiable. A prospective replication on a randomly drawn sample of the corpus is the appropriate remedy for all three and is not attempted here.</w:t>
      </w:r>
    </w:p>
    <w:p>
      <w:pPr>
        <w:pStyle w:val="BodyText"/>
      </w:pPr>
      <w:r>
        <w:t xml:space="preserve">Selection also favored vignettes with sufficient narrative content to support scoring, which selects toward cases on which raters are less likely to record not-applicable. The human–model contrast in not-applicable rates reported in section 8.12 is therefore a conservative estimate of what a randomly sampled corpus would show.</w:t>
      </w:r>
    </w:p>
    <w:p>
      <w:pPr>
        <w:pStyle w:val="BodyText"/>
      </w:pPr>
      <w:r>
        <w:t xml:space="preserve">Three widely taught landmark cases were included deliberately. Reviewers with clinical ethics training may recall published commentary on these cases rather than rating the vignette text alone, which is a source of variance the models do not share in the same form. Section 6.3 specifies the check; where it detects a difference, the three vignettes are reported separately.</w:t>
      </w:r>
    </w:p>
    <w:p>
      <w:pPr>
        <w:pStyle w:val="BodyText"/>
      </w:pPr>
      <w:r>
        <w:t xml:space="preserve">The reviewer sample is a convenience sample rather than a probability sample, and its composition is concentrated in two respects. Of the 36 registrants who stated a specialty, 17 practise consultation-liaison psychiatry. That concentration cuts both ways. Assessment of decisional capacity is routine consultation work in that specialty, so the reference standard is weighted toward reviewers who perform the underlying judgment regularly, which strengthens its claim to expertise. But it also means the standard reflects the norms of one specialty more than the norms of clinicians generally, and agreement between models and, say, primary care physicians or intensivists cannot be inferred from these results.</w:t>
      </w:r>
    </w:p>
    <w:p>
      <w:pPr>
        <w:pStyle w:val="BodyText"/>
      </w:pPr>
      <w:r>
        <w:t xml:space="preserve">Reviewer characteristics were collected at registration and are not linked to submission records, so contributing and non-contributing reviewers cannot be compared on role, experience, or specialty. This matters more than it would in a study with near-complete participation: 15 of the 45 reviewers holding assigned blocks submitted no ratings, and if that exit was associated with seniority, specialty, or available time, the realized reference standard differs from the sample described in Table 4 in a way the present data cannot detect. Linking registration characteristics to submission records in a future round would close this gap at negligible cost.</w:t>
      </w:r>
    </w:p>
    <w:p>
      <w:pPr>
        <w:pStyle w:val="BodyText"/>
      </w:pPr>
      <w:r>
        <w:t xml:space="preserve">Reviewers were told at consent that their ratings would be compared with ratings produced by large language models. Disclosure was the right ethical choice, but it means the human ratings were not produced blind to the study question. A reviewer who knows a machine comparison is coming may deliberate more carefully than they would in routine practice, or may adjust scores against an imagined machine standard in either direction. The magnitude and direction of any such effect are not estimable from this design, since there is no undisclosed comparison group. Human ratings should therefore be read as expert judgments made under known comparison rather than as a naturalistic sample of clinical reasoning, and a replication with disclosure withheld until debriefing would be required to bound the effect.</w:t>
      </w:r>
    </w:p>
    <w:p>
      <w:pPr>
        <w:pStyle w:val="BodyText"/>
      </w:pPr>
      <w:r>
        <w:t xml:space="preserve">Human reviewers were drawn from a bioethics-trained population and their judgments constitute a reference standard, not ground truth. Where models diverge from human ratings, the finding is divergence from trained human judgment, which is the relevant benchmark for a decision-support context but is not equivalent to error.</w:t>
      </w:r>
    </w:p>
    <w:bookmarkEnd w:id="104"/>
    <w:bookmarkStart w:id="105" w:name="conclusions"/>
    <w:p>
      <w:pPr>
        <w:pStyle w:val="Heading2"/>
      </w:pPr>
      <w:r>
        <w:rPr>
          <w:bCs/>
          <w:b/>
        </w:rPr>
        <w:t xml:space="preserve">11 Conclusions</w:t>
      </w:r>
    </w:p>
    <w:p>
      <w:pPr>
        <w:pStyle w:val="FirstParagraph"/>
      </w:pPr>
      <w:r>
        <w:t xml:space="preserve">Applied under matched conditions to the same fifty clinical-ethics vignettes, eight current general-purpose language models attributed less autonomy to the patients described than trained bioethics reviewers did, by a mean of 11.0 index points. The difference was present in all four domains of the instrument and for every model, though the vignette-adjusted gap varied by a factor of about two across models, from 7.0 to 14.8 points, so model selection moves the effect without removing it. The two sources nonetheless ordered cases closely (r = 0.78) and did not differ significantly about the external constraints bearing on each decision, which locates the divergence in the inferential step from circumstance to agency rather than in the reading of the case.</w:t>
      </w:r>
    </w:p>
    <w:p>
      <w:pPr>
        <w:pStyle w:val="BodyText"/>
      </w:pPr>
      <w:r>
        <w:t xml:space="preserve">Three qualifications bound what follows from this. The mean difference is accompanied by wide case-level limits of agreement, so the finding concerns aggregate calibration rather than any individual case. Model scores fall inside the range of trained human judgment on roughly three quarters of vignettes, so the difference is carried by the remaining quarter rather than by uniform under-attribution. And human ratings constitute a reference standard rather than ground truth, so the design cannot determine whether models are too conservative, reviewers too generous, or both. What the results do support is a direction: an autonomy-support tool built on these systems would tend to under-recognize patient capacity, and would do so most in the cases where it already judges autonomy to be weak. That is the direction of error that tends toward paternalism. Human oversight in capacity-sensitive decisions, and calibration to the range of defensible human judgment rather than to its central tendency, are the appropriate responses on the present evidence.</w:t>
      </w:r>
    </w:p>
    <w:bookmarkEnd w:id="105"/>
    <w:bookmarkEnd w:id="106"/>
    <w:bookmarkStart w:id="117" w:name="declarations"/>
    <w:p>
      <w:pPr>
        <w:pStyle w:val="Heading1"/>
      </w:pPr>
      <w:r>
        <w:rPr>
          <w:bCs/>
          <w:b/>
        </w:rPr>
        <w:t xml:space="preserve">Declarations</w:t>
      </w:r>
    </w:p>
    <w:bookmarkStart w:id="107" w:name="Xd182db0490b2de20bd2b4e4cc8698599182035f"/>
    <w:p>
      <w:pPr>
        <w:pStyle w:val="Heading2"/>
      </w:pPr>
      <w:r>
        <w:rPr>
          <w:bCs/>
          <w:b/>
        </w:rPr>
        <w:t xml:space="preserve">Ethics approval and consent to participate</w:t>
      </w:r>
    </w:p>
    <w:p>
      <w:pPr>
        <w:pStyle w:val="FirstParagraph"/>
      </w:pPr>
      <w:r>
        <w:t xml:space="preserve">Human data collection was reviewed and approved by the Harvard Longwood Campus Institutional Review Board under protocol IRB26-0146. All participants provided documented electronic informed consent before accessing any study material; consent was recorded by affirmative selection on a dedicated consent screen and archived as a timestamped record separate from response data. No identifiable patient data were used at any point. All clinical vignettes were derived from published case reports and public-domain clinical material and contain no direct or indirect patient identifiers. The study was conducted in accordance with the Declaration of Helsinki and the Belmont Report [26].</w:t>
      </w:r>
    </w:p>
    <w:bookmarkEnd w:id="107"/>
    <w:bookmarkStart w:id="108" w:name="consent-for-publication"/>
    <w:p>
      <w:pPr>
        <w:pStyle w:val="Heading2"/>
      </w:pPr>
      <w:r>
        <w:rPr>
          <w:bCs/>
          <w:b/>
        </w:rPr>
        <w:t xml:space="preserve">Consent for publication</w:t>
      </w:r>
    </w:p>
    <w:p>
      <w:pPr>
        <w:pStyle w:val="FirstParagraph"/>
      </w:pPr>
      <w:r>
        <w:t xml:space="preserve">Not applicable. The manuscript contains no individual person’s data in any form.</w:t>
      </w:r>
    </w:p>
    <w:bookmarkEnd w:id="108"/>
    <w:bookmarkStart w:id="109" w:name="availability-of-data-and-materials"/>
    <w:p>
      <w:pPr>
        <w:pStyle w:val="Heading2"/>
      </w:pPr>
      <w:r>
        <w:rPr>
          <w:bCs/>
          <w:b/>
        </w:rPr>
        <w:t xml:space="preserve">Availability of data and materials</w:t>
      </w:r>
    </w:p>
    <w:p>
      <w:pPr>
        <w:pStyle w:val="FirstParagraph"/>
      </w:pPr>
      <w:r>
        <w:rPr>
          <w:bCs/>
          <w:b/>
        </w:rPr>
        <w:t xml:space="preserve">[AUTHOR TO COMPLETE BEFORE SUBMISSION. medRxiv requires a data-availability statement at submission. Supply a repository URL or an explicit access procedure. Suggested wording once the repository exists:]</w:t>
      </w:r>
    </w:p>
    <w:p>
      <w:pPr>
        <w:pStyle w:val="BodyText"/>
      </w:pPr>
      <w:r>
        <w:t xml:space="preserve">De-identified vignette-level and item-level rating data, the full instrument as presented to both human reviewers and models, the verbatim scoring prompt, and the analysis code are available at </w:t>
      </w:r>
      <w:r>
        <w:rPr>
          <w:bCs/>
          <w:b/>
        </w:rPr>
        <w:t xml:space="preserve">[repository URL / DOI]</w:t>
      </w:r>
      <w:r>
        <w:t xml:space="preserve">. Raw model API responses are available at </w:t>
      </w:r>
      <w:r>
        <w:rPr>
          <w:bCs/>
          <w:b/>
        </w:rPr>
        <w:t xml:space="preserve">[URL]</w:t>
      </w:r>
      <w:r>
        <w:t xml:space="preserve">. Individual reviewer identifiers and registration data are not shared, as participants did not consent to release of individual-level records.</w:t>
      </w:r>
    </w:p>
    <w:bookmarkEnd w:id="109"/>
    <w:bookmarkStart w:id="110" w:name="code-availability"/>
    <w:p>
      <w:pPr>
        <w:pStyle w:val="Heading2"/>
      </w:pPr>
      <w:r>
        <w:rPr>
          <w:bCs/>
          <w:b/>
        </w:rPr>
        <w:t xml:space="preserve">Code availability</w:t>
      </w:r>
    </w:p>
    <w:p>
      <w:pPr>
        <w:pStyle w:val="FirstParagraph"/>
      </w:pPr>
      <w:r>
        <w:t xml:space="preserve">Scoring, aggregation, and analysis code, including the per-model configuration used for every API call, is available at </w:t>
      </w:r>
      <w:r>
        <w:rPr>
          <w:bCs/>
          <w:b/>
        </w:rPr>
        <w:t xml:space="preserve">[repository URL]</w:t>
      </w:r>
      <w:r>
        <w:t xml:space="preserve"> under </w:t>
      </w:r>
      <w:r>
        <w:rPr>
          <w:bCs/>
          <w:b/>
        </w:rPr>
        <w:t xml:space="preserve">[license]</w:t>
      </w:r>
      <w:r>
        <w:t xml:space="preserve">.</w:t>
      </w:r>
    </w:p>
    <w:bookmarkEnd w:id="110"/>
    <w:bookmarkStart w:id="111" w:name="funding"/>
    <w:p>
      <w:pPr>
        <w:pStyle w:val="Heading2"/>
      </w:pPr>
      <w:r>
        <w:rPr>
          <w:bCs/>
          <w:b/>
        </w:rPr>
        <w:t xml:space="preserve">Funding</w:t>
      </w:r>
    </w:p>
    <w:p>
      <w:pPr>
        <w:pStyle w:val="FirstParagraph"/>
      </w:pPr>
      <w:r>
        <w:rPr>
          <w:bCs/>
          <w:b/>
        </w:rPr>
        <w:t xml:space="preserve">[AUTHOR TO COMPLETE. medRxiv requires an explicit funding statement, including a statement that no third party made payments for any aspect of the submitted work if that is the case. Suggested wording if unfunded:]</w:t>
      </w:r>
      <w:r>
        <w:t xml:space="preserve"> This research received no specific grant from any funding agency in the public, commercial, or not-for-profit sectors. Neither author nor their institutions received payment or services from a third party for any aspect of the submitted work.</w:t>
      </w:r>
    </w:p>
    <w:bookmarkEnd w:id="111"/>
    <w:bookmarkStart w:id="112" w:name="competing-interests"/>
    <w:p>
      <w:pPr>
        <w:pStyle w:val="Heading2"/>
      </w:pPr>
      <w:r>
        <w:rPr>
          <w:bCs/>
          <w:b/>
        </w:rPr>
        <w:t xml:space="preserve">Competing interests</w:t>
      </w:r>
    </w:p>
    <w:p>
      <w:pPr>
        <w:pStyle w:val="FirstParagraph"/>
      </w:pPr>
      <w:r>
        <w:rPr>
          <w:bCs/>
          <w:b/>
        </w:rPr>
        <w:t xml:space="preserve">[AUTHOR TO COMPLETE AND VERIFY.]</w:t>
      </w:r>
      <w:r>
        <w:t xml:space="preserve"> T.D.R. is employed as Director of Innovation and Artificial Intelligence at Kaiser Permanente, an organization that develops and deploys clinical artificial intelligence systems. This work was conducted in his capacity as a graduate researcher at the Harvard Medical School Center for Bioethics and not on behalf of, or with resources from, that employer. </w:t>
      </w:r>
      <w:r>
        <w:rPr>
          <w:bCs/>
          <w:b/>
        </w:rPr>
        <w:t xml:space="preserve">[State any interest in HelmValues AI / the Bioethics Trust Layer, any pending intellectual property relating to the Autonomy Index, and any relationship with the developers of the eight evaluated models.]</w:t>
      </w:r>
      <w:r>
        <w:t xml:space="preserve"> R.W.B. declares </w:t>
      </w:r>
      <w:r>
        <w:rPr>
          <w:bCs/>
          <w:b/>
        </w:rPr>
        <w:t xml:space="preserve">[insert]</w:t>
      </w:r>
      <w:r>
        <w:t xml:space="preserve">. Neither author nor their institutions received payments or services in the past 36 months from a third party that could be perceived to influence the submitted work.</w:t>
      </w:r>
    </w:p>
    <w:bookmarkEnd w:id="112"/>
    <w:bookmarkStart w:id="113" w:name="author-contributions"/>
    <w:p>
      <w:pPr>
        <w:pStyle w:val="Heading2"/>
      </w:pPr>
      <w:r>
        <w:rPr>
          <w:bCs/>
          <w:b/>
        </w:rPr>
        <w:t xml:space="preserve">Author contributions</w:t>
      </w:r>
    </w:p>
    <w:p>
      <w:pPr>
        <w:pStyle w:val="FirstParagraph"/>
      </w:pPr>
      <w:r>
        <w:rPr>
          <w:bCs/>
          <w:b/>
        </w:rPr>
        <w:t xml:space="preserve">[CONFIRM AGAINST CRediT.]</w:t>
      </w:r>
      <w:r>
        <w:t xml:space="preserve"> T.D.R.: conceptualization, methodology, software, formal analysis, investigation, data curation, visualization, writing — original draft. R.W.B.: conceptualization, methodology, supervision, writing — review and editing. Both authors read and approved the final manuscript.</w:t>
      </w:r>
    </w:p>
    <w:bookmarkEnd w:id="113"/>
    <w:bookmarkStart w:id="114" w:name="X662c2d66dd1eda3268d2087202c966cd73b2601"/>
    <w:p>
      <w:pPr>
        <w:pStyle w:val="Heading2"/>
      </w:pPr>
      <w:r>
        <w:rPr>
          <w:bCs/>
          <w:b/>
        </w:rPr>
        <w:t xml:space="preserve">Use of generative artificial intelligence</w:t>
      </w:r>
    </w:p>
    <w:p>
      <w:pPr>
        <w:pStyle w:val="FirstParagraph"/>
      </w:pPr>
      <w:r>
        <w:t xml:space="preserve">Large language models are the object of study in this work; the models queried, their version identifiers, providers, access dates, and decoding parameters are reported in section 5.2 and </w:t>
      </w:r>
      <w:r>
        <w:rPr>
          <w:bCs/>
          <w:b/>
        </w:rPr>
        <w:t xml:space="preserve">[Table X]</w:t>
      </w:r>
      <w:r>
        <w:t xml:space="preserve">. Separately, and in accordance with medRxiv policy, the authors disclose that generative AI tools were used in the preparation of this manuscript for </w:t>
      </w:r>
      <w:r>
        <w:rPr>
          <w:bCs/>
          <w:b/>
        </w:rPr>
        <w:t xml:space="preserve">[specify: e.g. drafting assistance, code generation, figure production, copy-editing]</w:t>
      </w:r>
      <w:r>
        <w:t xml:space="preserve">. The authors reviewed and verified all content and take full responsibility for the accuracy, integrity, and originality of the work. No AI tool is listed as an author.</w:t>
      </w:r>
    </w:p>
    <w:bookmarkEnd w:id="114"/>
    <w:bookmarkStart w:id="115" w:name="pre-registration"/>
    <w:p>
      <w:pPr>
        <w:pStyle w:val="Heading2"/>
      </w:pPr>
      <w:r>
        <w:rPr>
          <w:bCs/>
          <w:b/>
        </w:rPr>
        <w:t xml:space="preserve">Pre-registration</w:t>
      </w:r>
    </w:p>
    <w:p>
      <w:pPr>
        <w:pStyle w:val="FirstParagraph"/>
      </w:pPr>
      <w:r>
        <w:rPr>
          <w:bCs/>
          <w:b/>
        </w:rPr>
        <w:t xml:space="preserve">[AUTHOR TO COMPLETE. State whether the analysis plan described in section 6.3 was pre-registered and, if so, give the registry and identifier. If it was not pre-registered, say so explicitly and label the analyses exploratory where appropriate.]</w:t>
      </w:r>
    </w:p>
    <w:bookmarkEnd w:id="115"/>
    <w:bookmarkStart w:id="116" w:name="acknowledgements"/>
    <w:p>
      <w:pPr>
        <w:pStyle w:val="Heading2"/>
      </w:pPr>
      <w:r>
        <w:rPr>
          <w:bCs/>
          <w:b/>
        </w:rPr>
        <w:t xml:space="preserve">Acknowledgements</w:t>
      </w:r>
    </w:p>
    <w:p>
      <w:pPr>
        <w:pStyle w:val="FirstParagraph"/>
      </w:pPr>
      <w:r>
        <w:t xml:space="preserve">The authors thank the bioethics reviewers who contributed ratings </w:t>
      </w:r>
      <w:r>
        <w:rPr>
          <w:bCs/>
          <w:b/>
        </w:rPr>
        <w:t xml:space="preserve">[and any named advisors who consented to acknowledgement]</w:t>
      </w:r>
      <w:r>
        <w:t xml:space="preserve">.</w:t>
      </w:r>
    </w:p>
    <w:bookmarkEnd w:id="116"/>
    <w:bookmarkEnd w:id="117"/>
    <w:bookmarkStart w:id="118" w:name="references"/>
    <w:p>
      <w:pPr>
        <w:pStyle w:val="Heading1"/>
      </w:pPr>
      <w:r>
        <w:rPr>
          <w:bCs/>
          <w:b/>
        </w:rPr>
        <w:t xml:space="preserve">References</w:t>
      </w:r>
    </w:p>
    <w:p>
      <w:pPr>
        <w:pStyle w:val="FirstParagraph"/>
      </w:pPr>
      <w:r>
        <w:t xml:space="preserve">1. Grisso T, Appelbaum PS, Hill-Fotouhi C. The MacCAT-T: a clinical tool to assess patients’ capacities to make treatment decisions. Psychiatr Serv. 1997;48(11):1415–1419. doi:10.1176/ps.48.11.1415</w:t>
      </w:r>
    </w:p>
    <w:p>
      <w:pPr>
        <w:pStyle w:val="BodyText"/>
      </w:pPr>
      <w:r>
        <w:t xml:space="preserve">2. Grisso T, Appelbaum PS. Assessing Competence to Consent to Treatment: A Guide for Physicians and Other Health Professionals. New York: Oxford University Press; 1998.</w:t>
      </w:r>
    </w:p>
    <w:p>
      <w:pPr>
        <w:pStyle w:val="BodyText"/>
      </w:pPr>
      <w:r>
        <w:t xml:space="preserve">3. Appelbaum PS, Grisso T. MacArthur Competence Assessment Tool for Clinical Research (MacCAT-CR). Sarasota, FL: Professional Resource Press; 2001.</w:t>
      </w:r>
    </w:p>
    <w:p>
      <w:pPr>
        <w:pStyle w:val="BodyText"/>
      </w:pPr>
      <w:r>
        <w:t xml:space="preserve">4. Hein IM, Troost PW, Lindeboom R, et al. Accuracy of the MacArthur Competence Assessment Tool for Clinical Research (MacCAT-CR) for measuring children’s competence to consent to clinical research. JAMA Pediatr. 2014;168(12):1147–1153. doi:10.1001/jamapediatrics.2014.1694</w:t>
      </w:r>
    </w:p>
    <w:p>
      <w:pPr>
        <w:pStyle w:val="BodyText"/>
      </w:pPr>
      <w:r>
        <w:t xml:space="preserve">5. Etchells E, Sharpe G, Elliott C, Singer PA. Bioethics for clinicians: 3. Capacity. CMAJ. 1996;155(6):657–661.</w:t>
      </w:r>
    </w:p>
    <w:p>
      <w:pPr>
        <w:pStyle w:val="BodyText"/>
      </w:pPr>
      <w:r>
        <w:t xml:space="preserve">6. Jeste DV, Palmer BW, Appelbaum PS, et al. A new brief instrument for assessing decisional capacity for clinical research. Arch Gen Psychiatry. 2007;64(8):966–974. doi:10.1001/archpsyc.64.8.966</w:t>
      </w:r>
    </w:p>
    <w:p>
      <w:pPr>
        <w:pStyle w:val="BodyText"/>
      </w:pPr>
      <w:r>
        <w:t xml:space="preserve">7. Amaral APS, et al. Capacity Assessment Instrument – Health: pilot study of a new tool for adults with dementia. Clin Gerontol. 2025;48(3):411–422. doi:10.1080/07317115.2024.2331171</w:t>
      </w:r>
    </w:p>
    <w:p>
      <w:pPr>
        <w:pStyle w:val="BodyText"/>
      </w:pPr>
      <w:r>
        <w:t xml:space="preserve">8. Marson DC, Ingram KK, Cody HA, Harrell LE. Assessing the competency of patients with Alzheimer’s disease under different legal standards: a prototype instrument. Arch Neurol. 1995;52(10):949–954.</w:t>
      </w:r>
    </w:p>
    <w:p>
      <w:pPr>
        <w:pStyle w:val="BodyText"/>
      </w:pPr>
      <w:r>
        <w:t xml:space="preserve">9. Lai JM, Karlawish J. Assessing the capacity to make everyday decisions: a guide for clinicians and an agenda for future research. Am J Geriatr Psychiatry. 2007;15(2):101–111.</w:t>
      </w:r>
    </w:p>
    <w:p>
      <w:pPr>
        <w:pStyle w:val="BodyText"/>
      </w:pPr>
      <w:r>
        <w:t xml:space="preserve">10. Lai JM, Gill TM, Cooney LM, Bradley EH, Hawkins KA, Karlawish JH. Everyday decision-making ability in older persons with cognitive impairment. Am J Geriatr Psychiatry. 2008;16(8):693–696. doi:10.1097/JGP.0b013e31816c7b54</w:t>
      </w:r>
    </w:p>
    <w:p>
      <w:pPr>
        <w:pStyle w:val="BodyText"/>
      </w:pPr>
      <w:r>
        <w:t xml:space="preserve">11. Edelstein B. Hopemont Capacity Assessment Interview (HCAI) [Database record]. APA PsycTests; 2000. doi:10.1037/t04729-000</w:t>
      </w:r>
    </w:p>
    <w:p>
      <w:pPr>
        <w:pStyle w:val="BodyText"/>
      </w:pPr>
      <w:r>
        <w:t xml:space="preserve">12. Degner LF, Sloan JA, Venkatesh P. The Control Preferences Scale. Can J Nurs Res. 1997;29(3):21–43.</w:t>
      </w:r>
    </w:p>
    <w:p>
      <w:pPr>
        <w:pStyle w:val="BodyText"/>
      </w:pPr>
      <w:r>
        <w:t xml:space="preserve">13. Shepherd V, Hood K, Wood F. Development of a measure to assess the quality of proxy decisions about research participation on behalf of adults lacking capacity to consent: the Combined Scale for Proxy Informed Consent Decisions (CONCORD Scale). Trials. 2022;23(1):843. doi:10.1186/s13063-022-06787-8</w:t>
      </w:r>
    </w:p>
    <w:p>
      <w:pPr>
        <w:pStyle w:val="BodyText"/>
      </w:pPr>
      <w:r>
        <w:t xml:space="preserve">14. Kupsch L, et al. Assessment of decisional capacity: a systematic review and analysis of instruments regarding their applicability to requests for assisted suicide. Eur Psychiatry. 2025;68(1):e91. doi:10.1192/j.eurpsy.2025.10041</w:t>
      </w:r>
    </w:p>
    <w:p>
      <w:pPr>
        <w:pStyle w:val="BodyText"/>
      </w:pPr>
      <w:r>
        <w:t xml:space="preserve">15. Moye J, Karel MJ, Gurrera RJ, Azar AR. Empirical advances in the assessment of the capacity to consent to medical treatment: clinical implications and research needs. Clin Psychol Rev. 2006;26(8):1054–1077. doi:10.1016/j.cpr.2005.04.013</w:t>
      </w:r>
    </w:p>
    <w:p>
      <w:pPr>
        <w:pStyle w:val="BodyText"/>
      </w:pPr>
      <w:r>
        <w:t xml:space="preserve">16. Koo TK, Li MY. A guideline of selecting and reporting intraclass correlation coefficients for reliability research. J Chiropr Med. 2016;15(2):155–163. doi:10.1016/j.jcm.2016.02.012</w:t>
      </w:r>
    </w:p>
    <w:p>
      <w:pPr>
        <w:pStyle w:val="BodyText"/>
      </w:pPr>
      <w:r>
        <w:t xml:space="preserve">17. Shrout PE, Fleiss JL. Intraclass correlations: uses in assessing rater reliability. Psychol Bull. 1979;86(2):420–428. doi:10.1037/0033-2909.86.2.420</w:t>
      </w:r>
    </w:p>
    <w:p>
      <w:pPr>
        <w:pStyle w:val="BodyText"/>
      </w:pPr>
      <w:r>
        <w:t xml:space="preserve">18. Bland JM, Altman DG. Statistical methods for assessing agreement between two methods of clinical measurement. Lancet. 1986;1(8476):307–310.</w:t>
      </w:r>
    </w:p>
    <w:p>
      <w:pPr>
        <w:pStyle w:val="BodyText"/>
      </w:pPr>
      <w:r>
        <w:t xml:space="preserve">19. Bland JM, Altman DG. Agreement between methods of measurement with multiple observations per individual. J Biopharm Stat. 2007;17(4):571–582. doi:10.1080/10543400701329422</w:t>
      </w:r>
    </w:p>
    <w:p>
      <w:pPr>
        <w:pStyle w:val="BodyText"/>
      </w:pPr>
      <w:r>
        <w:t xml:space="preserve">20. Krouwer JS. Why Bland-Altman plots should use X, not (Y+X)/2 when X is a reference method. Stat Med. 2008;27(5):778–780. doi:10.1002/sim.3086</w:t>
      </w:r>
    </w:p>
    <w:p>
      <w:pPr>
        <w:pStyle w:val="BodyText"/>
      </w:pPr>
      <w:r>
        <w:t xml:space="preserve">21. Kenward MG, Roger JH. Small sample inference for fixed effects from restricted maximum likelihood. Biometrics. 1997;53(3):983–997.</w:t>
      </w:r>
    </w:p>
    <w:p>
      <w:pPr>
        <w:pStyle w:val="BodyText"/>
      </w:pPr>
      <w:r>
        <w:t xml:space="preserve">22. Arnau J, Bendayan R, Blanca MJ, Bono R. Should we rely on the Kenward–Roger approximation when using linear mixed models if the groups have different distributions? Br J Math Stat Psychol. 2014;67(3):408–429. doi:10.1111/bmsp.12026</w:t>
      </w:r>
    </w:p>
    <w:p>
      <w:pPr>
        <w:pStyle w:val="BodyText"/>
      </w:pPr>
      <w:r>
        <w:t xml:space="preserve">23. Marcus R, Peritz E, Gabriel KR. On closed testing procedures with special reference to ordered analysis of variance. Biometrika. 1976;63(3):655–660. doi:10.1093/biomet/63.3.655</w:t>
      </w:r>
    </w:p>
    <w:p>
      <w:pPr>
        <w:pStyle w:val="BodyText"/>
      </w:pPr>
      <w:r>
        <w:t xml:space="preserve">24. Giavarina D. Understanding Bland Altman analysis. Biochem Med (Zagreb). 2015;25(2):141–151. doi:10.11613/BM.2015.015</w:t>
      </w:r>
    </w:p>
    <w:p>
      <w:pPr>
        <w:pStyle w:val="BodyText"/>
      </w:pPr>
      <w:r>
        <w:t xml:space="preserve">25. Sorensen T, Moore J, Fisher J, et al. Position: a roadmap to pluralistic alignment. In: Proceedings of the 41st International Conference on Machine Learning. PMLR 235:46280–46302; 2024. </w:t>
      </w:r>
      <w:r>
        <w:rPr>
          <w:bCs/>
          <w:b/>
        </w:rPr>
        <w:t xml:space="preserve">[CITATION CORRECTED — see editorial note. The source cited in the v7 draft for “Overton coverage” was a work of popular fiction and could not stand in a scientific manuscript. This is the paper that formalizes Overton pluralism as high-coverage responses spanning the range of reasonable answers, which is the sense used in sections 8.7 and 9. Verify that it matches your operational definition before posting.]</w:t>
      </w:r>
    </w:p>
    <w:p>
      <w:pPr>
        <w:pStyle w:val="BodyText"/>
      </w:pPr>
      <w:r>
        <w:t xml:space="preserve">26. National Commission for the Protection of Human Subjects of Biomedical and Behavioral Research. The Belmont Report: ethical principles and guidelines for the protection of human subjects of research. Washington, DC: US Department of Health, Education, and Welfare; 1979.</w:t>
      </w:r>
    </w:p>
    <w:p>
      <w:pPr>
        <w:pStyle w:val="BodyText"/>
      </w:pPr>
      <w:r>
        <w:t xml:space="preserve">27. Rosenbluth T. ChatGPT led to a man’s near-fatal health crisis, lawsuit claims. The New York Times. July 22, 2026. </w:t>
      </w:r>
      <w:r>
        <w:rPr>
          <w:bCs/>
          <w:b/>
        </w:rPr>
        <w:t xml:space="preserve">[Verify date and URL at submission.]</w:t>
      </w:r>
    </w:p>
    <w:p>
      <w:pPr>
        <w:pStyle w:val="BodyText"/>
      </w:pPr>
      <w:r>
        <w:t xml:space="preserve">28. Appelbaum PS. Assessment of patients’ competence to consent to treatment. N Engl J Med. 2007;357(18):1834–1840. doi:10.1056/NEJMcp074045</w:t>
      </w:r>
    </w:p>
    <w:p>
      <w:pPr>
        <w:pStyle w:val="BodyText"/>
      </w:pPr>
      <w:r>
        <w:t xml:space="preserve">29. Health Care Consent Act, 1996, SO 1996, c 2, Sched A (Ontario, Canada). Accessed August 11, 2026. https://www.ontario.ca/laws/statute/96h02</w:t>
      </w:r>
    </w:p>
    <w:p>
      <w:pPr>
        <w:pStyle w:val="BodyText"/>
      </w:pPr>
      <w:r>
        <w:t xml:space="preserve">30. Beauchamp TL, Childress JF. Principles of Biomedical Ethics. 8th ed. New York: Oxford University Press; 2019.</w:t>
      </w:r>
    </w:p>
    <w:bookmarkEnd w:id="118"/>
    <w:bookmarkStart w:id="138" w:name="supplementary-material"/>
    <w:p>
      <w:pPr>
        <w:pStyle w:val="Heading1"/>
      </w:pPr>
      <w:r>
        <w:rPr>
          <w:bCs/>
          <w:b/>
        </w:rPr>
        <w:t xml:space="preserve">Supplementary Material</w:t>
      </w:r>
    </w:p>
    <w:bookmarkStart w:id="136" w:name="appendix-a.-supplementary-figures"/>
    <w:p>
      <w:pPr>
        <w:pStyle w:val="Heading2"/>
      </w:pPr>
      <w:r>
        <w:rPr>
          <w:bCs/>
          <w:b/>
        </w:rPr>
        <w:t xml:space="preserve">Appendix A. Supplementary figures</w:t>
      </w:r>
    </w:p>
    <w:p>
      <w:pPr>
        <w:pStyle w:val="FirstParagraph"/>
      </w:pPr>
      <w:r>
        <w:t xml:space="preserve">Figures A1 to A5 support sections 8.6, 8.10 and 8.11. Panels A1 to A3 are regenerated on the harmonized scale described in section 8.1 and their score positions correspond to the values reported in the main text. Figures A4 and A5 are carried over from the earlier pipeline and their absolute score positions do not; the shape of each distribution, the ordering of items, and the relative position of the two sources are unaffected, but the numeric positions on the score axis are not comparable to Table 5.</w:t>
      </w:r>
    </w:p>
    <w:bookmarkStart w:id="128" w:name="a.1-distributional-divergence"/>
    <w:p>
      <w:pPr>
        <w:pStyle w:val="Heading3"/>
      </w:pPr>
      <w:r>
        <w:rPr>
          <w:bCs/>
          <w:b/>
        </w:rPr>
        <w:t xml:space="preserve">A.1 Distributional divergence</w:t>
      </w:r>
    </w:p>
    <w:p>
      <w:pPr>
        <w:pStyle w:val="FirstParagraph"/>
      </w:pPr>
      <w:r>
        <w:drawing>
          <wp:inline>
            <wp:extent cx="5905500" cy="2181225"/>
            <wp:effectExtent b="0" l="0" r="0" t="0"/>
            <wp:docPr descr="" title="" id="120" name="Picture"/>
            <a:graphic>
              <a:graphicData uri="http://schemas.openxmlformats.org/drawingml/2006/picture">
                <pic:pic>
                  <pic:nvPicPr>
                    <pic:cNvPr descr="./media/media/image13.png" id="121" name="Picture"/>
                    <pic:cNvPicPr>
                      <a:picLocks noChangeArrowheads="1" noChangeAspect="1"/>
                    </pic:cNvPicPr>
                  </pic:nvPicPr>
                  <pic:blipFill>
                    <a:blip r:embed="rId119"/>
                    <a:stretch>
                      <a:fillRect/>
                    </a:stretch>
                  </pic:blipFill>
                  <pic:spPr bwMode="auto">
                    <a:xfrm>
                      <a:off x="0" y="0"/>
                      <a:ext cx="5905500" cy="2181225"/>
                    </a:xfrm>
                    <a:prstGeom prst="rect">
                      <a:avLst/>
                    </a:prstGeom>
                    <a:noFill/>
                    <a:ln w="9525">
                      <a:noFill/>
                      <a:headEnd/>
                      <a:tailEnd/>
                    </a:ln>
                  </pic:spPr>
                </pic:pic>
              </a:graphicData>
            </a:graphic>
          </wp:inline>
        </w:drawing>
      </w:r>
    </w:p>
    <w:p>
      <w:pPr>
        <w:pStyle w:val="BodyText"/>
      </w:pPr>
      <w:r>
        <w:t xml:space="preserve">Figure A1. Distributional divergence between human and model score distributions at composite and domain level. Left: Jensen–Shannon distance, the square root of the divergence and a proper metric on the unit interval. Centre: Jensen–Shannon divergence with severity bands. Right: the two directed Kullback–Leibler divergences. The asymmetry is the informative panel: within the three domains carrying the largest mean differences, KL(human ‖ model) exceeds KL(model ‖ human) by roughly an order of magnitude, which indicates that human ratings occupy score regions the models enter rarely rather than the reverse. At the composite level the two directions are close to symmetric.</w:t>
      </w:r>
    </w:p>
    <w:p>
      <w:pPr>
        <w:pStyle w:val="BodyText"/>
      </w:pPr>
      <w:r>
        <w:drawing>
          <wp:inline>
            <wp:extent cx="5905500" cy="3543300"/>
            <wp:effectExtent b="0" l="0" r="0" t="0"/>
            <wp:docPr descr="" title="" id="123" name="Picture"/>
            <a:graphic>
              <a:graphicData uri="http://schemas.openxmlformats.org/drawingml/2006/picture">
                <pic:pic>
                  <pic:nvPicPr>
                    <pic:cNvPr descr="./media/media/image14.png" id="124" name="Picture"/>
                    <pic:cNvPicPr>
                      <a:picLocks noChangeArrowheads="1" noChangeAspect="1"/>
                    </pic:cNvPicPr>
                  </pic:nvPicPr>
                  <pic:blipFill>
                    <a:blip r:embed="rId122"/>
                    <a:stretch>
                      <a:fillRect/>
                    </a:stretch>
                  </pic:blipFill>
                  <pic:spPr bwMode="auto">
                    <a:xfrm>
                      <a:off x="0" y="0"/>
                      <a:ext cx="5905500" cy="3543300"/>
                    </a:xfrm>
                    <a:prstGeom prst="rect">
                      <a:avLst/>
                    </a:prstGeom>
                    <a:noFill/>
                    <a:ln w="9525">
                      <a:noFill/>
                      <a:headEnd/>
                      <a:tailEnd/>
                    </a:ln>
                  </pic:spPr>
                </pic:pic>
              </a:graphicData>
            </a:graphic>
          </wp:inline>
        </w:drawing>
      </w:r>
    </w:p>
    <w:p>
      <w:pPr>
        <w:pStyle w:val="BodyText"/>
      </w:pPr>
      <w:r>
        <w:t xml:space="preserve">Figure A2. Kernel density overlays of human and model score distributions for the composite and each of the four domains, with the shared mass shaded. Dashed vertical lines mark distribution means. The model distributions are bimodal at every level, with one mode near zero and a second in the middle of the range, while the human distributions are broader and less clearly bimodal. The bimodality is the feature a mean difference conceals: models are not uniformly conservative but split between cases they score near the floor and cases they score moderately.</w:t>
      </w:r>
    </w:p>
    <w:p>
      <w:pPr>
        <w:pStyle w:val="BodyText"/>
      </w:pPr>
      <w:r>
        <w:drawing>
          <wp:inline>
            <wp:extent cx="5905500" cy="1619250"/>
            <wp:effectExtent b="0" l="0" r="0" t="0"/>
            <wp:docPr descr="" title="" id="126" name="Picture"/>
            <a:graphic>
              <a:graphicData uri="http://schemas.openxmlformats.org/drawingml/2006/picture">
                <pic:pic>
                  <pic:nvPicPr>
                    <pic:cNvPr descr="./media/media/image15.png" id="127" name="Picture"/>
                    <pic:cNvPicPr>
                      <a:picLocks noChangeArrowheads="1" noChangeAspect="1"/>
                    </pic:cNvPicPr>
                  </pic:nvPicPr>
                  <pic:blipFill>
                    <a:blip r:embed="rId125"/>
                    <a:stretch>
                      <a:fillRect/>
                    </a:stretch>
                  </pic:blipFill>
                  <pic:spPr bwMode="auto">
                    <a:xfrm>
                      <a:off x="0" y="0"/>
                      <a:ext cx="5905500" cy="1619250"/>
                    </a:xfrm>
                    <a:prstGeom prst="rect">
                      <a:avLst/>
                    </a:prstGeom>
                    <a:noFill/>
                    <a:ln w="9525">
                      <a:noFill/>
                      <a:headEnd/>
                      <a:tailEnd/>
                    </a:ln>
                  </pic:spPr>
                </pic:pic>
              </a:graphicData>
            </a:graphic>
          </wp:inline>
        </w:drawing>
      </w:r>
    </w:p>
    <w:p>
      <w:pPr>
        <w:pStyle w:val="BodyText"/>
      </w:pPr>
      <w:r>
        <w:t xml:space="preserve">Figure A3. Response probability mass functions for the four most divergent instrument items. The pattern is consistent across all four: models place substantial mass on the absent category, which human reviewers use almost never, while human reviewers place substantial mass on the very high category, which models use rarely. The divergence is therefore concentrated at the two ends of the response scale rather than distributed evenly across it.</w:t>
      </w:r>
    </w:p>
    <w:bookmarkEnd w:id="128"/>
    <w:bookmarkStart w:id="135" w:name="a.2-per-vignette-comparison"/>
    <w:p>
      <w:pPr>
        <w:pStyle w:val="Heading3"/>
      </w:pPr>
      <w:r>
        <w:rPr>
          <w:bCs/>
          <w:b/>
        </w:rPr>
        <w:t xml:space="preserve">A.2 Per-vignette comparison</w:t>
      </w:r>
    </w:p>
    <w:p>
      <w:pPr>
        <w:pStyle w:val="FirstParagraph"/>
      </w:pPr>
      <w:r>
        <w:t xml:space="preserve">The following two figures report the human–model difference for each vignette individually, restricted to the vignettes with more than one human rating. They are included for completeness: the aggregate statistics in section 8 describe central tendency, and a reader assessing whether the difference is driven by a subset of cases needs the per-case view to check.</w:t>
      </w:r>
    </w:p>
    <w:p>
      <w:pPr>
        <w:pStyle w:val="BodyText"/>
      </w:pPr>
      <w:r>
        <w:drawing>
          <wp:inline>
            <wp:extent cx="4762500" cy="5962650"/>
            <wp:effectExtent b="0" l="0" r="0" t="0"/>
            <wp:docPr descr="" title="" id="130" name="Picture"/>
            <a:graphic>
              <a:graphicData uri="http://schemas.openxmlformats.org/drawingml/2006/picture">
                <pic:pic>
                  <pic:nvPicPr>
                    <pic:cNvPr descr="./media/media/image16.png" id="131" name="Picture"/>
                    <pic:cNvPicPr>
                      <a:picLocks noChangeArrowheads="1" noChangeAspect="1"/>
                    </pic:cNvPicPr>
                  </pic:nvPicPr>
                  <pic:blipFill>
                    <a:blip r:embed="rId129"/>
                    <a:stretch>
                      <a:fillRect/>
                    </a:stretch>
                  </pic:blipFill>
                  <pic:spPr bwMode="auto">
                    <a:xfrm>
                      <a:off x="0" y="0"/>
                      <a:ext cx="4762500" cy="5962650"/>
                    </a:xfrm>
                    <a:prstGeom prst="rect">
                      <a:avLst/>
                    </a:prstGeom>
                    <a:noFill/>
                    <a:ln w="9525">
                      <a:noFill/>
                      <a:headEnd/>
                      <a:tailEnd/>
                    </a:ln>
                  </pic:spPr>
                </pic:pic>
              </a:graphicData>
            </a:graphic>
          </wp:inline>
        </w:drawing>
      </w:r>
    </w:p>
    <w:p>
      <w:pPr>
        <w:pStyle w:val="BodyText"/>
      </w:pPr>
      <w:r>
        <w:t xml:space="preserve">Figure A4. Human and model composite scores for each vignette, sorted by the size of the difference, with the number of human ratings in parentheses. Shaded bands mark the three interpretive ranges. The difference is present across the full corpus rather than concentrated in particular cases, which is consistent with the small rater-by-vignette interaction term reported in section 8.8.</w:t>
      </w:r>
    </w:p>
    <w:p>
      <w:pPr>
        <w:pStyle w:val="BodyText"/>
      </w:pPr>
      <w:r>
        <w:drawing>
          <wp:inline>
            <wp:extent cx="4191000" cy="7058025"/>
            <wp:effectExtent b="0" l="0" r="0" t="0"/>
            <wp:docPr descr="" title="" id="133" name="Picture"/>
            <a:graphic>
              <a:graphicData uri="http://schemas.openxmlformats.org/drawingml/2006/picture">
                <pic:pic>
                  <pic:nvPicPr>
                    <pic:cNvPr descr="./media/media/image17.png" id="134" name="Picture"/>
                    <pic:cNvPicPr>
                      <a:picLocks noChangeArrowheads="1" noChangeAspect="1"/>
                    </pic:cNvPicPr>
                  </pic:nvPicPr>
                  <pic:blipFill>
                    <a:blip r:embed="rId132"/>
                    <a:stretch>
                      <a:fillRect/>
                    </a:stretch>
                  </pic:blipFill>
                  <pic:spPr bwMode="auto">
                    <a:xfrm>
                      <a:off x="0" y="0"/>
                      <a:ext cx="4191000" cy="7058025"/>
                    </a:xfrm>
                    <a:prstGeom prst="rect">
                      <a:avLst/>
                    </a:prstGeom>
                    <a:noFill/>
                    <a:ln w="9525">
                      <a:noFill/>
                      <a:headEnd/>
                      <a:tailEnd/>
                    </a:ln>
                  </pic:spPr>
                </pic:pic>
              </a:graphicData>
            </a:graphic>
          </wp:inline>
        </w:drawing>
      </w:r>
    </w:p>
    <w:p>
      <w:pPr>
        <w:pStyle w:val="BodyText"/>
      </w:pPr>
      <w:r>
        <w:t xml:space="preserve">Figure A5. Human minus model difference by vignette and domain. Rows are ordered by mean difference. Fourteen of the fifty vignettes are negative at the composite level, and the domain pattern within a vignette is generally uniform, indicating that where models diverge from human reviewers they tend to do so across the construct rather than on one component.</w:t>
      </w:r>
    </w:p>
    <w:bookmarkEnd w:id="135"/>
    <w:bookmarkEnd w:id="136"/>
    <w:bookmarkStart w:id="137" w:name="appendix-b.-outstanding-item"/>
    <w:p>
      <w:pPr>
        <w:pStyle w:val="Heading2"/>
      </w:pPr>
      <w:r>
        <w:rPr>
          <w:bCs/>
          <w:b/>
        </w:rPr>
        <w:t xml:space="preserve">Appendix B. Resolution of the response-scale encoding</w:t>
      </w:r>
    </w:p>
    <w:p>
      <w:pPr>
        <w:pStyle w:val="FirstParagraph"/>
      </w:pPr>
      <w:r>
        <w:t xml:space="preserve">The response-scale encoding flagged as outstanding in earlier versions has been resolved from the item-level response file, and section 8 has been recomputed on the corrected harmonization. Section 8.1 sets out the transform and states which conclusions changed. In summary: the direction of the human–model difference, its statistical significance, its presence in every domain and for every model, and the rank agreement between the two sources are unchanged. The magnitude falls from 55.3 to 11.0 index points, the distributional divergences fall from large to small or moderate, Overton coverage rises from roughly one case in eight to roughly three in four, the compression across models no longer holds in its earlier form, and the interpretive-band comparison no longer shows humans and models diverging at the top of the scale. No magnitude quoted from a version of this manuscript before the present one should be relied on.</w:t>
      </w:r>
    </w:p>
    <w:p>
      <w:r>
        <w:pict>
          <v:rect style="width:0;height:1.5pt" o:hralign="center" o:hrstd="t" o:hr="t"/>
        </w:pict>
      </w:r>
    </w:p>
    <w:bookmarkEnd w:id="137"/>
    <w:bookmarkEnd w:id="138"/>
    <w:bookmarkStart w:id="143" w:name="X741d33e4cb395f2c923a3499d9688fce934db5a"/>
    <w:p>
      <w:pPr>
        <w:pStyle w:val="Heading1"/>
      </w:pPr>
      <w:r>
        <w:rPr>
          <w:bCs/>
          <w:b/>
        </w:rPr>
        <w:t xml:space="preserve">EDITORIAL NOTE TO AUTHORS — DELETE THIS ENTIRE SECTION BEFORE SUBMISSION</w:t>
      </w:r>
    </w:p>
    <w:p>
      <w:pPr>
        <w:pStyle w:val="FirstParagraph"/>
      </w:pPr>
      <w:r>
        <w:t xml:space="preserve">This section is not part of the manuscript. It records items that must be resolved before posting, because a medRxiv preprint receives a permanent DOI and cannot be removed once posted.</w:t>
      </w:r>
    </w:p>
    <w:bookmarkStart w:id="139" w:name="Xf74e54be9c1b19b26b18583335e586ed6cf41b8"/>
    <w:p>
      <w:pPr>
        <w:pStyle w:val="Heading2"/>
      </w:pPr>
      <w:r>
        <w:rPr>
          <w:bCs/>
          <w:b/>
        </w:rPr>
        <w:t xml:space="preserve">E.1 The Key Findings box can now be reinstated</w:t>
      </w:r>
    </w:p>
    <w:p>
      <w:pPr>
        <w:pStyle w:val="FirstParagraph"/>
      </w:pPr>
      <w:r>
        <w:t xml:space="preserve">The v7 draft opened with a Key Findings box (R1 to R6) whose numbers did not match Section 8 and were not reconcilable by rescaling. That conflict has been resolved: the item-level response file has been used to recover the intended response-scale encoding, Section 8 has been recomputed on it, and the recomputed Section 8 now agrees with the Key Findings box on every quantity in E.2 except Overton coverage and the interpretive-band comparison, both of which have been recomputed and are reported in Sections 8.7 and 8.10. The box therefore rested on the correct harmonization all along and Section 8 did not. The original box text is preserved verbatim in E.4. If it is reinstated, three of its statements need correction against the current results, listed in E.2.</w:t>
      </w:r>
    </w:p>
    <w:bookmarkEnd w:id="139"/>
    <w:bookmarkStart w:id="140" w:name="Xa156ac815c1902c6e4bd69737494513fdb95414"/>
    <w:p>
      <w:pPr>
        <w:pStyle w:val="Heading2"/>
      </w:pPr>
      <w:r>
        <w:rPr>
          <w:bCs/>
          <w:b/>
        </w:rPr>
        <w:t xml:space="preserve">E.2 Reconciliation of the Key Findings box against the recomputed Section 8</w:t>
      </w:r>
    </w:p>
    <w:tbl>
      <w:tblPr>
        <w:tblStyle w:val="Table"/>
        <w:tblW w:type="pct" w:w="4870"/>
        <w:tblLook w:firstRow="1" w:lastRow="0" w:firstColumn="0" w:lastColumn="0" w:noHBand="0" w:noVBand="0" w:val="0020"/>
        <w:jc w:val="start"/>
      </w:tblPr>
      <w:tblGrid>
        <w:gridCol w:w="2468"/>
        <w:gridCol w:w="2365"/>
        <w:gridCol w:w="2880"/>
      </w:tblGrid>
      <w:tr>
        <w:trPr>
          <w:tblHeader w:val="true"/>
        </w:trPr>
        <w:tc>
          <w:tcPr/>
          <w:p>
            <w:pPr>
              <w:pStyle w:val="Compact"/>
              <w:jc w:val="left"/>
            </w:pPr>
            <w:r>
              <w:rPr>
                <w:bCs/>
                <w:b/>
              </w:rPr>
              <w:t xml:space="preserve">Quantity</w:t>
            </w:r>
          </w:p>
        </w:tc>
        <w:tc>
          <w:tcPr/>
          <w:p>
            <w:pPr>
              <w:pStyle w:val="Compact"/>
              <w:jc w:val="left"/>
            </w:pPr>
            <w:r>
              <w:rPr>
                <w:bCs/>
                <w:b/>
              </w:rPr>
              <w:t xml:space="preserve">Key Findings box (v7)</w:t>
            </w:r>
          </w:p>
        </w:tc>
        <w:tc>
          <w:tcPr/>
          <w:p>
            <w:pPr>
              <w:pStyle w:val="Compact"/>
              <w:jc w:val="left"/>
            </w:pPr>
            <w:r>
              <w:rPr>
                <w:bCs/>
                <w:b/>
              </w:rPr>
              <w:t xml:space="preserve">Section 8 (this version)</w:t>
            </w:r>
          </w:p>
        </w:tc>
      </w:tr>
      <w:tr>
        <w:tc>
          <w:tcPr/>
          <w:p>
            <w:pPr>
              <w:pStyle w:val="Compact"/>
              <w:jc w:val="left"/>
            </w:pPr>
            <w:r>
              <w:t xml:space="preserve">Human mean composite</w:t>
            </w:r>
          </w:p>
        </w:tc>
        <w:tc>
          <w:tcPr/>
          <w:p>
            <w:pPr>
              <w:pStyle w:val="Compact"/>
              <w:jc w:val="left"/>
            </w:pPr>
            <w:r>
              <w:t xml:space="preserve">50.3</w:t>
            </w:r>
          </w:p>
        </w:tc>
        <w:tc>
          <w:tcPr/>
          <w:p>
            <w:pPr>
              <w:pStyle w:val="Compact"/>
              <w:jc w:val="left"/>
            </w:pPr>
            <w:r>
              <w:t xml:space="preserve">50.2 — agrees</w:t>
            </w:r>
          </w:p>
        </w:tc>
      </w:tr>
      <w:tr>
        <w:tc>
          <w:tcPr/>
          <w:p>
            <w:pPr>
              <w:pStyle w:val="Compact"/>
              <w:jc w:val="left"/>
            </w:pPr>
            <w:r>
              <w:t xml:space="preserve">Human–model difference</w:t>
            </w:r>
          </w:p>
        </w:tc>
        <w:tc>
          <w:tcPr/>
          <w:p>
            <w:pPr>
              <w:pStyle w:val="Compact"/>
              <w:jc w:val="left"/>
            </w:pPr>
            <w:r>
              <w:t xml:space="preserve">+11.4, 95% CI [+6.8, +16.0]</w:t>
            </w:r>
          </w:p>
        </w:tc>
        <w:tc>
          <w:tcPr/>
          <w:p>
            <w:pPr>
              <w:pStyle w:val="Compact"/>
              <w:jc w:val="left"/>
            </w:pPr>
            <w:r>
              <w:t xml:space="preserve">+11.0, 95% CI [+6.3, +15.8]; mixed-model 11.3 — agrees</w:t>
            </w:r>
          </w:p>
        </w:tc>
      </w:tr>
      <w:tr>
        <w:tc>
          <w:tcPr/>
          <w:p>
            <w:pPr>
              <w:pStyle w:val="Compact"/>
              <w:jc w:val="left"/>
            </w:pPr>
            <w:r>
              <w:t xml:space="preserve">Test statistic</w:t>
            </w:r>
          </w:p>
        </w:tc>
        <w:tc>
          <w:tcPr/>
          <w:p>
            <w:pPr>
              <w:pStyle w:val="Compact"/>
              <w:jc w:val="left"/>
            </w:pPr>
            <w:r>
              <w:t xml:space="preserve">Kenward-Roger F(1,49) = 23.6</w:t>
            </w:r>
          </w:p>
        </w:tc>
        <w:tc>
          <w:tcPr/>
          <w:p>
            <w:pPr>
              <w:pStyle w:val="Compact"/>
              <w:jc w:val="left"/>
            </w:pPr>
            <w:r>
              <w:t xml:space="preserve">Paired t = 4.64, df 49, P = 2.6 × 10⁻⁵; mixed-model P &lt; 0.001 — both reject; reconcile the KR statistic against the current model before quoting it</w:t>
            </w:r>
          </w:p>
        </w:tc>
      </w:tr>
      <w:tr>
        <w:tc>
          <w:tcPr/>
          <w:p>
            <w:pPr>
              <w:pStyle w:val="Compact"/>
              <w:jc w:val="left"/>
            </w:pPr>
            <w:r>
              <w:t xml:space="preserve">Human–model correlation</w:t>
            </w:r>
          </w:p>
        </w:tc>
        <w:tc>
          <w:tcPr/>
          <w:p>
            <w:pPr>
              <w:pStyle w:val="Compact"/>
              <w:jc w:val="left"/>
            </w:pPr>
            <w:r>
              <w:t xml:space="preserve">r = 0.78 (Spearman 0.78)</w:t>
            </w:r>
          </w:p>
        </w:tc>
        <w:tc>
          <w:tcPr/>
          <w:p>
            <w:pPr>
              <w:pStyle w:val="Compact"/>
              <w:jc w:val="left"/>
            </w:pPr>
            <w:r>
              <w:t xml:space="preserve">r = 0.78 (Spearman 0.78) — agrees</w:t>
            </w:r>
          </w:p>
        </w:tc>
      </w:tr>
      <w:tr>
        <w:tc>
          <w:tcPr/>
          <w:p>
            <w:pPr>
              <w:pStyle w:val="Compact"/>
              <w:jc w:val="left"/>
            </w:pPr>
            <w:r>
              <w:t xml:space="preserve">Overton coverage</w:t>
            </w:r>
          </w:p>
        </w:tc>
        <w:tc>
          <w:tcPr/>
          <w:p>
            <w:pPr>
              <w:pStyle w:val="Compact"/>
              <w:jc w:val="left"/>
            </w:pPr>
            <w:r>
              <w:t xml:space="preserve">76% (38/50 cases)</w:t>
            </w:r>
          </w:p>
        </w:tc>
        <w:tc>
          <w:tcPr/>
          <w:p>
            <w:pPr>
              <w:pStyle w:val="Compact"/>
              <w:jc w:val="left"/>
            </w:pPr>
            <w:r>
              <w:t xml:space="preserve">74.1% mean per-run coverage; 38 of 50 vignettes covered on at least half of runs — agrees on the case count; the box's 76% should be restated as 74.1%</w:t>
            </w:r>
          </w:p>
        </w:tc>
      </w:tr>
      <w:tr>
        <w:tc>
          <w:tcPr/>
          <w:p>
            <w:pPr>
              <w:pStyle w:val="Compact"/>
              <w:jc w:val="left"/>
            </w:pPr>
            <w:r>
              <w:t xml:space="preserve">Domain differences</w:t>
            </w:r>
          </w:p>
        </w:tc>
        <w:tc>
          <w:tcPr/>
          <w:p>
            <w:pPr>
              <w:pStyle w:val="Compact"/>
              <w:jc w:val="left"/>
            </w:pPr>
            <w:r>
              <w:t xml:space="preserve">FU +13.9, IA +12.4, VA +10.3, RD +8.0</w:t>
            </w:r>
          </w:p>
        </w:tc>
        <w:tc>
          <w:tcPr/>
          <w:p>
            <w:pPr>
              <w:pStyle w:val="Compact"/>
              <w:jc w:val="left"/>
            </w:pPr>
            <w:r>
              <w:t xml:space="preserve">FU +13.7, IA +12.3, VA +10.4, RD +7.9 — agrees to rounding</w:t>
            </w:r>
          </w:p>
        </w:tc>
      </w:tr>
      <w:tr>
        <w:tc>
          <w:tcPr/>
          <w:p>
            <w:pPr>
              <w:pStyle w:val="Compact"/>
              <w:jc w:val="left"/>
            </w:pPr>
            <w:r>
              <w:t xml:space="preserve">Panel reliability</w:t>
            </w:r>
          </w:p>
        </w:tc>
        <w:tc>
          <w:tcPr/>
          <w:p>
            <w:pPr>
              <w:pStyle w:val="Compact"/>
              <w:jc w:val="left"/>
            </w:pPr>
            <w:r>
              <w:t xml:space="preserve">ρ_k̄ 0.975 (models), 0.77 (humans)</w:t>
            </w:r>
          </w:p>
        </w:tc>
        <w:tc>
          <w:tcPr/>
          <w:p>
            <w:pPr>
              <w:pStyle w:val="Compact"/>
              <w:jc w:val="left"/>
            </w:pPr>
            <w:r>
              <w:t xml:space="preserve">ρ_k̄ 0.975 and ρ₁ 0.837 for models — agrees. The human figures do not reproduce: the current decomposition returns a degenerate solution (σ²_v = 0, ρ₁ = 0). Do not reinstate ρ₁ 0.49 or ρ_k̄ 0.77 without rerunning the estimator.</w:t>
            </w:r>
          </w:p>
        </w:tc>
      </w:tr>
      <w:tr>
        <w:tc>
          <w:tcPr/>
          <w:p>
            <w:pPr>
              <w:pStyle w:val="Compact"/>
              <w:jc w:val="left"/>
            </w:pPr>
            <w:r>
              <w:t xml:space="preserve">March-to-July change</w:t>
            </w:r>
          </w:p>
        </w:tc>
        <w:tc>
          <w:tcPr/>
          <w:p>
            <w:pPr>
              <w:pStyle w:val="Compact"/>
              <w:jc w:val="left"/>
            </w:pPr>
            <w:r>
              <w:t xml:space="preserve">−2.0 pts, KR p = 0.13</w:t>
            </w:r>
          </w:p>
        </w:tc>
        <w:tc>
          <w:tcPr/>
          <w:p>
            <w:pPr>
              <w:pStyle w:val="Compact"/>
              <w:jc w:val="left"/>
            </w:pPr>
            <w:r>
              <w:t xml:space="preserve">Not recomputed. The March-to-July comparison is not in the current results set. Either regenerate it or drop R5 from the box.</w:t>
            </w:r>
          </w:p>
        </w:tc>
      </w:tr>
    </w:tbl>
    <w:p>
      <w:pPr>
        <w:pStyle w:val="BodyText"/>
      </w:pPr>
      <w:r>
        <w:t xml:space="preserve">Three items in the box still need attention before it is reinstated. First, the human panel reliability figures (ρ₁ 0.49, ρ_k̄ 0.77, “~5 raters for Eρ² ≥ 0.80” in R3) are not reproduced by the current variance decomposition and must be rerun or removed. Second, R2 states that only 4 of 15 items differ after Holm correction and names VA1, VA2, IA2 and IA3; the current results give 5 of 15, adding VA4 (adjusted P = 0.035). Third, R5 asserts a March-to-July generational change that the current results set does not contain. R1 and R4 reproduce in full. R6 reproduces only in part: its Overton coverage claim (38 of 50 cases) is confirmed in section 8.7, but its human-disagreement statistics — mean per-case SD of about 18, mean range of about 37 points, and the inverted-U in case autonomy level at p = 0.001 — are not in the current results set and must be regenerated or dropped.</w:t>
      </w:r>
    </w:p>
    <w:bookmarkEnd w:id="140"/>
    <w:bookmarkStart w:id="141" w:name="X378f4c7afaefca85ba8f5717da61ace78aedfa6"/>
    <w:p>
      <w:pPr>
        <w:pStyle w:val="Heading2"/>
      </w:pPr>
      <w:r>
        <w:rPr>
          <w:bCs/>
          <w:b/>
        </w:rPr>
        <w:t xml:space="preserve">E.3 Other items to resolve before posting</w:t>
      </w:r>
    </w:p>
    <w:p>
      <w:pPr>
        <w:numPr>
          <w:ilvl w:val="0"/>
          <w:numId w:val="1006"/>
        </w:numPr>
      </w:pPr>
      <w:r>
        <w:rPr>
          <w:bCs/>
          <w:b/>
        </w:rPr>
        <w:t xml:space="preserve">Dashboard integrity.</w:t>
      </w:r>
      <w:r>
        <w:t xml:space="preserve"> The study platform’s progress view reports “cases with 1 response = 1”, “cases with 2 responses = 0” and “cases with 3+ responses = 50”, which sums to 51 against 50 cases, and shows “responses remaining to reach target ~2” beside a completion rate of 122.7%. The singly-rated case agrees with Section 8.1 and Table 3, so the 100% progress bars for the two- and three-review targets are the counters to check; they may be counting draft or assigned records rather than submissions. Not a manuscript defect, but worth fixing before the next export.</w:t>
      </w:r>
    </w:p>
    <w:p>
      <w:pPr>
        <w:numPr>
          <w:ilvl w:val="0"/>
          <w:numId w:val="1006"/>
        </w:numPr>
      </w:pPr>
      <w:r>
        <w:t xml:space="preserve">Response-scale encoding — RESOLVED. The encoding has been recovered from the item-level response file and Section 8 recomputed on it. Section 8.1 documents the transform and states which conclusions changed; Appendix B summarises the resolution. The main substantive casualty is the compression-across-models claim: on the corrected scale the per-model spread (7.8 points) is comparable to the mean difference (11.0 points) rather than a small fraction of it, so Section 8.5, the Discussion and the Conclusions no longer say that model selection is not a remedy.</w:t>
      </w:r>
    </w:p>
    <w:p>
      <w:pPr>
        <w:numPr>
          <w:ilvl w:val="0"/>
          <w:numId w:val="1006"/>
        </w:numPr>
      </w:pPr>
      <w:r>
        <w:t xml:space="preserve">Rating count — UPDATED. 175 ratings were submitted at the analysis freeze; the current export shows 173 in the analyzed set rather than the 171 carried in the previous version. Sections 3.1, 8.1, Table 3 and Section 10 have been updated to 173, the mean raters per vignette to 3.46 and the harmonic mean to 3.09 (which sets k-bar in the Section 6.1 estimator, updated at that formula). Two items to verify against the frozen export: whether the two additional ratings reflect a rerun of the completeness rule or a later export, and whether the five most active reviewers still account for 64 ratings, since Section 10 now reads “64 of 173, 37.0 percent” on the assumption that the numerator is unchanged.</w:t>
      </w:r>
    </w:p>
    <w:p>
      <w:pPr>
        <w:numPr>
          <w:ilvl w:val="0"/>
          <w:numId w:val="1006"/>
        </w:numPr>
      </w:pPr>
      <w:r>
        <w:rPr>
          <w:bCs/>
          <w:b/>
        </w:rPr>
        <w:t xml:space="preserve">March-run valid scores, 7,524 versus 7,275.</w:t>
      </w:r>
      <w:r>
        <w:t xml:space="preserve"> The Summary stated ~7,524; Section 5.2 states 7,275 of 8,010 (90.8%).</w:t>
      </w:r>
    </w:p>
    <w:p>
      <w:pPr>
        <w:numPr>
          <w:ilvl w:val="0"/>
          <w:numId w:val="1006"/>
        </w:numPr>
      </w:pPr>
      <w:r>
        <w:t xml:space="preserve">Vignettes with three or more ratings — CONFIRMED. The current per-vignette distribution (one vignette with 1 rating, six with 2, twenty-three with 3, twelve with 4, five with 5, three with 6) sums to 173 across 50 vignettes and gives 43 vignettes at three or more, which matches the figure used in Sections 3.1 and 8.10.</w:t>
      </w:r>
    </w:p>
    <w:p>
      <w:pPr>
        <w:numPr>
          <w:ilvl w:val="0"/>
          <w:numId w:val="1006"/>
        </w:numPr>
      </w:pPr>
      <w:r>
        <w:t xml:space="preserve">Missing model table — PARTLY RESOLVED. Section 5.2 promised that the models queried in each run would be enumerated in the results with version identifiers, provider, access dates, decoding parameters, and per-model validity rates. Table 6 in the new section 8.12 now supplies vignette coverage and validity rates for the eight July models, and section 5.2 has been redirected to it. The version identifiers, provider, access dates, and decoding parameters are not recoverable from the analysis outputs and must be added from the run log before posting; the caption to Table 6 carries a marker. Note also that Table 6 is derived from mean runs per vignette rounded to one decimal place, so the implied per-model counts sum to 3,433 against the reported 3,431; substitute exact counts from the export.</w:t>
      </w:r>
    </w:p>
    <w:p>
      <w:pPr>
        <w:numPr>
          <w:ilvl w:val="0"/>
          <w:numId w:val="1006"/>
        </w:numPr>
      </w:pPr>
      <w:r>
        <w:t xml:space="preserve">Figure numbering is out of order, and Figure 12 has been removed. The encoding-sensitivity figure that occupied the Figure 12 slot showed the paired difference and band shares under the three candidate encodings; with the encoding resolved it is obsolete and both the image and its caption have been deleted, leaving 11 figures. Order of first mention is now 1, 3, 2, 4, 5, 11, 6, 7, 8, 9, 10. Renumbering in order of first citation touches every in-text cross-reference and remains your call. If a replacement figure is wanted for that slot, the Bland-Altman panel and the per-model coverage panel from the current output set are the two strongest candidates.</w:t>
      </w:r>
    </w:p>
    <w:p>
      <w:pPr>
        <w:numPr>
          <w:ilvl w:val="0"/>
          <w:numId w:val="1006"/>
        </w:numPr>
      </w:pPr>
      <w:r>
        <w:t xml:space="preserve">Figure 2 caption is present but Figure 2 is cited only obliquely, and Section 8 now opens by promising “Figures 4 to 11.” Check that every figure is cited in text.</w:t>
      </w:r>
    </w:p>
    <w:p>
      <w:pPr>
        <w:numPr>
          <w:ilvl w:val="0"/>
          <w:numId w:val="1006"/>
        </w:numPr>
      </w:pPr>
      <w:r>
        <w:rPr>
          <w:bCs/>
          <w:b/>
        </w:rPr>
        <w:t xml:space="preserve">Citation systems are now unified.</w:t>
      </w:r>
      <w:r>
        <w:t xml:space="preserve"> The v7 draft used Chicago-style footnotes and a Vancouver numbered list simultaneously. All footnotes have been folded into the numbered list as references 22 to 30, with duplicates merged (former footnotes 9 and 13 both pointed to reference 1; footnote 10 to reference 3; footnote 11 to reference 4). Verify the mapping.</w:t>
      </w:r>
    </w:p>
    <w:p>
      <w:pPr>
        <w:numPr>
          <w:ilvl w:val="0"/>
          <w:numId w:val="1006"/>
        </w:numPr>
      </w:pPr>
      <w:r>
        <w:rPr>
          <w:bCs/>
          <w:b/>
        </w:rPr>
        <w:t xml:space="preserve">Reference 25 was a work of fiction.</w:t>
      </w:r>
      <w:r>
        <w:t xml:space="preserve"> The v7 draft cited Glenn Beck’s novel </w:t>
      </w:r>
      <w:r>
        <w:rPr>
          <w:iCs/>
          <w:i/>
        </w:rPr>
        <w:t xml:space="preserve">The Overton Window</w:t>
      </w:r>
      <w:r>
        <w:t xml:space="preserve"> (2010) as the source for “Overton coverage.” It has been replaced with Sorensen et al., </w:t>
      </w:r>
      <w:r>
        <w:rPr>
          <w:iCs/>
          <w:i/>
        </w:rPr>
        <w:t xml:space="preserve">Position: A Roadmap to Pluralistic Alignment</w:t>
      </w:r>
      <w:r>
        <w:t xml:space="preserve"> (ICML 2024), which formalizes Overton pluralism as high-coverage responses spanning the range of reasonable answers. Confirm this matches your operational definition, and check whether the “composite pluralistic score” in Section 8.7 also derives from that paper.</w:t>
      </w:r>
    </w:p>
    <w:p>
      <w:pPr>
        <w:numPr>
          <w:ilvl w:val="0"/>
          <w:numId w:val="1006"/>
        </w:numPr>
      </w:pPr>
      <w:r>
        <w:rPr>
          <w:bCs/>
          <w:b/>
        </w:rPr>
        <w:t xml:space="preserve">Reference 8 (Appelbaum, N Engl J Med 2007)</w:t>
      </w:r>
      <w:r>
        <w:t xml:space="preserve"> was incomplete in the footnote (no volume, pages, or DOI). Volume and pages have been supplied at reference 28; verify.</w:t>
      </w:r>
    </w:p>
    <w:p>
      <w:pPr>
        <w:pStyle w:val="FirstParagraph"/>
      </w:pPr>
      <w:r>
        <w:t xml:space="preserve">10a. </w:t>
      </w:r>
      <w:r>
        <w:rPr>
          <w:bCs/>
          <w:b/>
        </w:rPr>
        <w:t xml:space="preserve">Table 1 citation collision — CORRECTED.</w:t>
      </w:r>
      <w:r>
        <w:t xml:space="preserve"> The MacCAT-T row carried “1997 [28]; manual Grisso &amp; Appelbaum 2007 [1] [1,2]” after the footnotes were merged, because the v7 footnotes for that row pointed at the wrong sources (footnote 8 cited Appelbaum 2007 against the 1997 Psychiatric Services paper, footnote 9 cited the 1997 paper against the 2007 manual). The row now reads 1997 [1] and 2007 [2]. The MacCAT-CR row carried a duplicated [3] and [4]; also corrected. Check both against your reference list.</w:t>
      </w:r>
    </w:p>
    <w:p>
      <w:pPr>
        <w:numPr>
          <w:ilvl w:val="0"/>
          <w:numId w:val="1007"/>
        </w:numPr>
      </w:pPr>
      <w:r>
        <w:t xml:space="preserve">Register — CORRECTED. Self-references to “this report” and “the present analysis” in Sections 8.10, 9.3 and 10 have been changed to “this study.” Appendix B has been repurposed to record the resolution of the encoding rather than to flag it as outstanding; if you prefer, it can be folded into Section 8.1 and deleted.</w:t>
      </w:r>
    </w:p>
    <w:p>
      <w:pPr>
        <w:numPr>
          <w:ilvl w:val="0"/>
          <w:numId w:val="1007"/>
        </w:numPr>
      </w:pPr>
      <w:r>
        <w:rPr>
          <w:bCs/>
          <w:b/>
        </w:rPr>
        <w:t xml:space="preserve">Declarations.</w:t>
      </w:r>
      <w:r>
        <w:t xml:space="preserve"> Every bracketed item in the Declarations section is required by medRxiv at submission: data availability, funding, competing interests, and a generative-AI disclosure. The competing-interest statement needs particular care given the Kaiser Permanente role and any commercial interest in the framework.</w:t>
      </w:r>
    </w:p>
    <w:p>
      <w:pPr>
        <w:numPr>
          <w:ilvl w:val="0"/>
          <w:numId w:val="1007"/>
        </w:numPr>
      </w:pPr>
      <w:r>
        <w:t xml:space="preserve">Beta-Binomial sensitivity analysis — REMOVED. The former section 4.3 specified a conjugate Beta-Binomial pooling estimator as a sensitivity check on the primary prorated estimator. It was never implemented, no code exists for it, and no corresponding result appears anywhere in the manuscript. The section has been deleted, former sections 4.4 and 4.5 renumbered to 4.3 and 4.4, the roadmap sentence at the head of section 4 updated, and the cross-reference in section 7 to a Beta posterior interval alongside the bootstrap interval removed. Check that no figure caption or supplementary panel still refers to it.</w:t>
      </w:r>
    </w:p>
    <w:bookmarkEnd w:id="141"/>
    <w:bookmarkStart w:id="142" w:name="X79e7e4fc6ded0693c7baada58d0c1fa3762f16c"/>
    <w:p>
      <w:pPr>
        <w:pStyle w:val="Heading2"/>
      </w:pPr>
      <w:r>
        <w:rPr>
          <w:bCs/>
          <w:b/>
        </w:rPr>
        <w:t xml:space="preserve">E.4 Original Key Findings text, preserved verbatim</w:t>
      </w:r>
    </w:p>
    <w:p>
      <w:pPr>
        <w:pStyle w:val="FirstParagraph"/>
      </w:pPr>
      <w:r>
        <w:rPr>
          <w:bCs/>
          <w:b/>
          <w:iCs/>
          <w:i/>
        </w:rPr>
        <w:t xml:space="preserve">R1. The study found that LLMs systematically under-score autonomy.</w:t>
      </w:r>
      <w:r>
        <w:rPr>
          <w:iCs/>
          <w:i/>
        </w:rPr>
        <w:t xml:space="preserve"> The LLM’s rate the Autonomy Index ~11 points below humans on the same cases: mean Autonomy Index Human 50.3 vs LLM 39.2. The gap is real, not noise: model-estimated bias +11.4, 95% CI [+6.8, +16.0], Kenward-Roger</w:t>
      </w:r>
      <w:r>
        <w:t xml:space="preserve"> [22] </w:t>
      </w:r>
      <w:r>
        <w:rPr>
          <w:iCs/>
          <w:i/>
        </w:rPr>
        <w:t xml:space="preserve">F(1,49)=23.6, p&lt;0.0001. It's directional and broad — the panel is more conservative about attributing autonomy across essentially every case.</w:t>
      </w:r>
    </w:p>
    <w:p>
      <w:pPr>
        <w:pStyle w:val="BodyText"/>
      </w:pPr>
      <w:r>
        <w:rPr>
          <w:bCs/>
          <w:b/>
          <w:iCs/>
          <w:i/>
        </w:rPr>
        <w:t xml:space="preserve">R2. The largest gap is in the capability/execution domains such as Factual Understanding and Intentional Action.</w:t>
      </w:r>
      <w:r>
        <w:rPr>
          <w:iCs/>
          <w:i/>
        </w:rPr>
        <w:t xml:space="preserve"> Factual Understanding +13.9 and Intentional Action +12.4; smallest in Rational Deliberation +8.0 (Value Awareness +10.3). No gap on the contextual indices ECI/SPI (not part of the AI): the sources agree on the situation, they diverge on the person's autonomy. The gap is a uniform level shift, not domain-specific (joint domain×source test χ²(3)=2.4, p=0.49). Per item, after Holm correction</w:t>
      </w:r>
      <w:r>
        <w:t xml:space="preserve"> [23] </w:t>
      </w:r>
      <w:r>
        <w:rPr>
          <w:iCs/>
          <w:i/>
        </w:rPr>
        <w:t xml:space="preserve">only 4/15 items differ (VA1, VA2, IA2, IA3) — small consistent shifts that aggregate into the significant composite gap.</w:t>
      </w:r>
    </w:p>
    <w:p>
      <w:pPr>
        <w:pStyle w:val="BodyText"/>
      </w:pPr>
      <w:r>
        <w:rPr>
          <w:bCs/>
          <w:b/>
          <w:iCs/>
          <w:i/>
        </w:rPr>
        <w:t xml:space="preserve">R3. The LLM’s are more consistent than humans</w:t>
      </w:r>
      <w:r>
        <w:rPr>
          <w:iCs/>
          <w:i/>
        </w:rPr>
        <w:t xml:space="preserve">. LLM panel reliability is excellent: July ρ_k̄ 0.975 (single-model ρ₁ 0.84); Humans are noisier raters: ρ₁ 0.49, panel-of-3.4 ρ_k̄ 0.77 — a single human generalizes poorly; you need ~5 raters for Eρ²≥0.80 (the LLM needs 1). Variance decomposition confirms it: vignette signal dominates for the LLM (σ²_v 637 vs rater σ²_r 7); for humans the residual/disagreement term (474) is as large as the signal (463). Run-to-run self-consistency is high (mean ICC1 ≈ 0.94; July mean within-run SD ≈ 4.6 AI pts) — best: Mistral Large (SD 0.7); worst: DeepSeek V4 Pro (SD 10.6). Ordinal α ≈ 0.97–0.98 for every source → the 13 items behave nearly unidimensionally (one construct).</w:t>
      </w:r>
    </w:p>
    <w:p>
      <w:pPr>
        <w:pStyle w:val="BodyText"/>
      </w:pPr>
      <w:r>
        <w:rPr>
          <w:bCs/>
          <w:b/>
          <w:iCs/>
          <w:i/>
        </w:rPr>
        <w:t xml:space="preserve">R4. Rank-order agreement is good even though absolute levels differ.</w:t>
      </w:r>
      <w:r>
        <w:rPr>
          <w:iCs/>
          <w:i/>
        </w:rPr>
        <w:t xml:space="preserve"> Human↔LLM Pearson r = 0.78 (Spearman 0.78); rater-tier-weighted r ≈ 0.76. Bland-Altman</w:t>
      </w:r>
      <w:r>
        <w:t xml:space="preserve"> [24]</w:t>
      </w:r>
      <w:r>
        <w:rPr>
          <w:iCs/>
          <w:i/>
        </w:rPr>
        <w:t xml:space="preserve">: bias +11.1, but wide limits of agreement [−21.6, +43.7] — good for ranking, not interchangeable on absolute scores.</w:t>
      </w:r>
    </w:p>
    <w:p>
      <w:pPr>
        <w:pStyle w:val="BodyText"/>
      </w:pPr>
      <w:r>
        <w:rPr>
          <w:bCs/>
          <w:b/>
          <w:iCs/>
          <w:i/>
        </w:rPr>
        <w:t xml:space="preserve">R5. LLM Generational change from March to July shows LLM's edging towards humans</w:t>
      </w:r>
      <w:r>
        <w:rPr>
          <w:iCs/>
          <w:i/>
        </w:rPr>
        <w:t xml:space="preserve">. Newer models edge toward humans but not significantly: successor-vs-anchor gap −2.0 pts, KR p=0.13. July is slightly better than March on every axis: closer to humans (r 0.78 vs 0.74), more reliable (ρ_k̄ 0.98 vs 0.96), more self-consistent.</w:t>
      </w:r>
    </w:p>
    <w:p>
      <w:pPr>
        <w:pStyle w:val="BodyText"/>
      </w:pPr>
      <w:r>
        <w:rPr>
          <w:bCs/>
          <w:b/>
          <w:iCs/>
          <w:i/>
        </w:rPr>
        <w:t xml:space="preserve">R6. The reframing — human disagreement is the signal, and the LLM usually sits inside it.</w:t>
      </w:r>
      <w:r>
        <w:rPr>
          <w:iCs/>
          <w:i/>
        </w:rPr>
        <w:t xml:space="preserve"> Humans disagree a lot: mean per-case </w:t>
      </w:r>
      <w:r>
        <w:rPr>
          <w:bCs/>
          <w:b/>
          <w:iCs/>
          <w:i/>
        </w:rPr>
        <w:t xml:space="preserve">SD ≈ 18</w:t>
      </w:r>
      <w:r>
        <w:rPr>
          <w:iCs/>
          <w:i/>
        </w:rPr>
        <w:t xml:space="preserve">, mean </w:t>
      </w:r>
      <w:r>
        <w:rPr>
          <w:bCs/>
          <w:b/>
          <w:iCs/>
          <w:i/>
        </w:rPr>
        <w:t xml:space="preserve">range ≈ 37</w:t>
      </w:r>
      <w:r>
        <w:rPr>
          <w:iCs/>
          <w:i/>
        </w:rPr>
        <w:t xml:space="preserve"> points (some cases span 90+). Disagreement follows an </w:t>
      </w:r>
      <w:r>
        <w:rPr>
          <w:bCs/>
          <w:b/>
          <w:iCs/>
          <w:i/>
        </w:rPr>
        <w:t xml:space="preserve">inverted-U in case autonomy-level</w:t>
      </w:r>
      <w:r>
        <w:rPr>
          <w:iCs/>
          <w:i/>
        </w:rPr>
        <w:t xml:space="preserve"> (mean_ai² β&lt;0, </w:t>
      </w:r>
      <w:r>
        <w:rPr>
          <w:bCs/>
          <w:b/>
          <w:iCs/>
          <w:i/>
        </w:rPr>
        <w:t xml:space="preserve">p=0.001</w:t>
      </w:r>
      <w:r>
        <w:rPr>
          <w:iCs/>
          <w:i/>
        </w:rPr>
        <w:t xml:space="preserve">): consensus on clear-cut cases, contestation on the ambiguous middle. N/A rate and rater time-on-task </w:t>
      </w:r>
      <w:r>
        <w:rPr>
          <w:bCs/>
          <w:b/>
          <w:iCs/>
          <w:i/>
        </w:rPr>
        <w:t xml:space="preserve">don't</w:t>
      </w:r>
      <w:r>
        <w:rPr>
          <w:iCs/>
          <w:i/>
        </w:rPr>
        <w:t xml:space="preserve"> predict it — so it tracks genuine case</w:t>
      </w:r>
      <w:r>
        <w:t xml:space="preserve"> ambiguity, not carelessness. </w:t>
      </w:r>
      <w:r>
        <w:rPr>
          <w:bCs/>
          <w:b/>
        </w:rPr>
        <w:t xml:space="preserve">Overton coverage</w:t>
      </w:r>
      <w:r>
        <w:t xml:space="preserve"> [25]</w:t>
      </w:r>
      <w:r>
        <w:rPr>
          <w:bCs/>
          <w:b/>
        </w:rPr>
        <w:t xml:space="preserve">:</w:t>
      </w:r>
      <w:r>
        <w:t xml:space="preserve"> the LLM mean falls </w:t>
      </w:r>
      <w:r>
        <w:rPr>
          <w:bCs/>
          <w:b/>
        </w:rPr>
        <w:t xml:space="preserve">inside the human disagreement band for 76% (38/50) of cases</w:t>
      </w:r>
      <w:r>
        <w:t xml:space="preserve"> (per-run coverage 74.7%). So for ~3/4 of cases the LLM is </w:t>
      </w:r>
      <w:r>
        <w:rPr>
          <w:iCs/>
          <w:i/>
        </w:rPr>
        <w:t xml:space="preserve">one defensible view among the raters</w:t>
      </w:r>
      <w:r>
        <w:t xml:space="preserve">; the +11 bias only bites on the ~1/4 where it lands outside the band.</w:t>
      </w:r>
    </w:p>
    <w:p>
      <w:pPr>
        <w:pStyle w:val="BodyText"/>
      </w:pPr>
      <w:r>
        <w:br/>
      </w:r>
    </w:p>
    <w:bookmarkEnd w:id="142"/>
    <w:bookmarkEnd w:id="143"/>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spacing w:after="0"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16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2" Target="media/rId22.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96" Target="media/rId9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37" Target="media/rId37.png" /><Relationship Type="http://schemas.openxmlformats.org/officeDocument/2006/relationships/image" Id="rId44" Target="media/rId44.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2026-08-22T05:37:31Z</dcterms:created>
  <dcterms:modified xsi:type="dcterms:W3CDTF">2026-08-22T05:37:31Z</dcterms:modified>
</cp:coreProperties>
</file>

<file path=docProps/custom.xml><?xml version="1.0" encoding="utf-8"?>
<Properties xmlns="http://schemas.openxmlformats.org/officeDocument/2006/custom-properties" xmlns:vt="http://schemas.openxmlformats.org/officeDocument/2006/docPropsVTypes"/>
</file>