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E76C8" w14:textId="01E824E3" w:rsidR="004A2FC6" w:rsidRPr="009508CF" w:rsidRDefault="004A2FC6" w:rsidP="009508CF">
      <w:pPr>
        <w:pStyle w:val="whitespace-pre-wrap"/>
        <w:spacing w:line="480" w:lineRule="auto"/>
        <w:jc w:val="center"/>
        <w:rPr>
          <w:sz w:val="28"/>
          <w:szCs w:val="28"/>
        </w:rPr>
      </w:pPr>
      <w:r w:rsidRPr="009508CF">
        <w:rPr>
          <w:sz w:val="28"/>
          <w:szCs w:val="28"/>
        </w:rPr>
        <w:t>References</w:t>
      </w:r>
      <w:r w:rsidR="009508CF" w:rsidRPr="009508CF">
        <w:rPr>
          <w:sz w:val="28"/>
          <w:szCs w:val="28"/>
        </w:rPr>
        <w:t xml:space="preserve"> for: </w:t>
      </w:r>
      <w:r w:rsidR="009508CF" w:rsidRPr="009508CF">
        <w:rPr>
          <w:sz w:val="28"/>
          <w:szCs w:val="28"/>
        </w:rPr>
        <w:t>The Reclaiming of Informed Consent: Why AI Calls for Transparency, Temporal Ethics, and Systemic Reform</w:t>
      </w:r>
    </w:p>
    <w:p w14:paraId="7C756336" w14:textId="77777777" w:rsidR="004A2FC6" w:rsidRDefault="004A2FC6" w:rsidP="004A2FC6">
      <w:pPr>
        <w:pStyle w:val="EndnoteText"/>
      </w:pPr>
    </w:p>
    <w:p w14:paraId="4FAFE06C" w14:textId="77777777" w:rsidR="004A2FC6" w:rsidRDefault="004A2FC6" w:rsidP="009508CF">
      <w:pPr>
        <w:pStyle w:val="EndnoteText"/>
      </w:pPr>
    </w:p>
    <w:p w14:paraId="04EF7D37" w14:textId="3E6BFC03" w:rsidR="004A2FC6" w:rsidRDefault="004A2FC6" w:rsidP="009508CF">
      <w:pPr>
        <w:pStyle w:val="EndnoteText"/>
      </w:pPr>
      <w:r>
        <w:rPr>
          <w:rStyle w:val="EndnoteReference"/>
        </w:rPr>
        <w:footnoteRef/>
      </w:r>
      <w:r>
        <w:t xml:space="preserve"> </w:t>
      </w:r>
      <w:r>
        <w:fldChar w:fldCharType="begin"/>
      </w:r>
      <w:r>
        <w:instrText xml:space="preserve"> ADDIN ZOTERO_ITEM CSL_CITATION {"citationID":"8MZGe2lU","properties":{"formattedCitation":"COMMITTEE ON BIOETHICS et al., \\uc0\\u8220{}Informed Consent in Decision-Making in Pediatric Practice,\\uc0\\u8221{} {\\i{}Pediatrics} 138, no. 2 (August 1, 2016): e20161484, https://doi.org/10.1542/peds.2016-1484.","plainCitation":"COMMITTEE ON BIOETHICS et al., “Informed Consent in Decision-Making in Pediatric Practice,” Pediatrics 138, no. 2 (August 1, 2016): e20161484, https://doi.org/10.1542/peds.2016-1484.","noteIndex":1},"citationItems":[{"id":373,"uris":["http://zotero.org/users/9247336/items/SST5NEP6"],"itemData":{"id":373,"type":"article-journal","abstract":"This Policy Statement was reaffirmed January 2023.\n            Informed consent should be seen as an essential part of health care practice; parental permission and childhood assent is an active process that engages patients, both adults and children, in health care. Pediatric practice is unique in that developmental maturation allows, over time, for increasing inclusion of the child’s and adolescent’s opinion in medical decision-making in clinical practice and research.","container-title":"Pediatrics","DOI":"10.1542/peds.2016-1484","ISSN":"0031-4005, 1098-4275","issue":"2","language":"en","page":"e20161484","source":"DOI.org (Crossref)","title":"Informed Consent in Decision-Making in Pediatric Practice","volume":"138","author":[{"literal":"COMMITTEE ON BIOETHICS"},{"family":"Katz","given":"Aviva L."},{"family":"Macauley","given":"Robert C."},{"family":"Mercurio","given":"Mark R."},{"family":"Moon","given":"Margaret R."},{"family":"Okun","given":"Alexander L."},{"family":"Opel","given":"Douglas J."},{"family":"Statter","given":"Mindy B."}],"issued":{"date-parts":[["2016",8,1]]}}}],"schema":"https://github.com/citation-style-language/schema/raw/master/csl-citation.json"} </w:instrText>
      </w:r>
      <w:r>
        <w:fldChar w:fldCharType="separate"/>
      </w:r>
      <w:r w:rsidRPr="00BE10B7">
        <w:rPr>
          <w:rFonts w:ascii="Aptos" w:cs="Times New Roman"/>
          <w:kern w:val="0"/>
        </w:rPr>
        <w:t>C</w:t>
      </w:r>
      <w:r>
        <w:rPr>
          <w:rFonts w:ascii="Aptos" w:cs="Times New Roman"/>
          <w:kern w:val="0"/>
        </w:rPr>
        <w:t>ommittee</w:t>
      </w:r>
      <w:r w:rsidRPr="00BE10B7">
        <w:rPr>
          <w:rFonts w:ascii="Aptos" w:cs="Times New Roman"/>
          <w:kern w:val="0"/>
        </w:rPr>
        <w:t xml:space="preserve"> O</w:t>
      </w:r>
      <w:r>
        <w:rPr>
          <w:rFonts w:ascii="Aptos" w:cs="Times New Roman"/>
          <w:kern w:val="0"/>
        </w:rPr>
        <w:t>n</w:t>
      </w:r>
      <w:r w:rsidRPr="00BE10B7">
        <w:rPr>
          <w:rFonts w:ascii="Aptos" w:cs="Times New Roman"/>
          <w:kern w:val="0"/>
        </w:rPr>
        <w:t xml:space="preserve"> B</w:t>
      </w:r>
      <w:r>
        <w:rPr>
          <w:rFonts w:ascii="Aptos" w:cs="Times New Roman"/>
          <w:kern w:val="0"/>
        </w:rPr>
        <w:t>ioethics</w:t>
      </w:r>
      <w:r w:rsidRPr="00BE10B7">
        <w:rPr>
          <w:rFonts w:ascii="Aptos" w:cs="Times New Roman"/>
          <w:kern w:val="0"/>
        </w:rPr>
        <w:t xml:space="preserve"> et al., “Informed Consent in Decision-Making in Pediatric Practice,” </w:t>
      </w:r>
      <w:r w:rsidRPr="00BE10B7">
        <w:rPr>
          <w:rFonts w:ascii="Aptos" w:cs="Times New Roman"/>
          <w:i/>
          <w:iCs/>
          <w:kern w:val="0"/>
        </w:rPr>
        <w:t>Pediatrics</w:t>
      </w:r>
      <w:r w:rsidRPr="00BE10B7">
        <w:rPr>
          <w:rFonts w:ascii="Aptos" w:cs="Times New Roman"/>
          <w:kern w:val="0"/>
        </w:rPr>
        <w:t xml:space="preserve"> 138, no. 2 (August 1, 2016): e20161484, https://doi.org/10.1542/peds.2016-1484.</w:t>
      </w:r>
      <w:r>
        <w:fldChar w:fldCharType="end"/>
      </w:r>
    </w:p>
    <w:p w14:paraId="72A35E5A" w14:textId="1B7EAC0A" w:rsidR="004A2FC6" w:rsidRDefault="009508CF" w:rsidP="009508CF">
      <w:pPr>
        <w:pStyle w:val="EndnoteText"/>
      </w:pPr>
      <w:r>
        <w:rPr>
          <w:rStyle w:val="EndnoteReference"/>
        </w:rPr>
        <w:t>2</w:t>
      </w:r>
      <w:r>
        <w:t xml:space="preserve"> </w:t>
      </w:r>
      <w:r w:rsidR="004A2FC6">
        <w:fldChar w:fldCharType="begin"/>
      </w:r>
      <w:r w:rsidR="004A2FC6">
        <w:instrText xml:space="preserve"> ADDIN ZOTERO_ITEM CSL_CITATION {"citationID":"ubtgX0mw","properties":{"formattedCitation":"\\uc0\\u8220{}The Belmont Report. Ethical Principles and Guidelines for the Protection of Human Subjects of Research.,\\uc0\\u8221{} 1979, https://www.hhs.gov/ohrp/regulations-and-policy/belmont-report/read-the-belmont-report/index.html.","plainCitation":"“The Belmont Report. Ethical Principles and Guidelines for the Protection of Human Subjects of Research.,” 1979, https://www.hhs.gov/ohrp/regulations-and-policy/belmont-report/read-the-belmont-report/index.html.","noteIndex":2},"citationItems":[{"id":227,"uris":["http://zotero.org/users/9247336/items/HFTE96QN"],"itemData":{"id":227,"type":"report","title":"The Belmont Report. Ethical Principles and Guidelines for the Protection of Human Subjects of Research.","URL":"https://www.hhs.gov/ohrp/regulations-and-policy/belmont-report/read-the-belmont-report/index.html","issued":{"date-parts":[["1979"]]}}}],"schema":"https://github.com/citation-style-language/schema/raw/master/csl-citation.json"} </w:instrText>
      </w:r>
      <w:r w:rsidR="004A2FC6">
        <w:fldChar w:fldCharType="separate"/>
      </w:r>
      <w:r w:rsidR="004A2FC6" w:rsidRPr="00BE10B7">
        <w:rPr>
          <w:rFonts w:ascii="Aptos" w:cs="Times New Roman"/>
          <w:kern w:val="0"/>
        </w:rPr>
        <w:t>“The Belmont Report. Ethical Principles and Guidelines for the Protection of Human Subjects of Research.,” 1979, https://www.hhs.gov/ohrp/regulations-and-policy/belmont-report/read-the-belmont-report/index.html.</w:t>
      </w:r>
      <w:r w:rsidR="004A2FC6">
        <w:fldChar w:fldCharType="end"/>
      </w:r>
    </w:p>
    <w:p w14:paraId="00678574" w14:textId="308E74AD" w:rsidR="004A2FC6" w:rsidRDefault="009508CF" w:rsidP="009508CF">
      <w:pPr>
        <w:pStyle w:val="EndnoteText"/>
      </w:pPr>
      <w:r>
        <w:rPr>
          <w:rStyle w:val="EndnoteReference"/>
        </w:rPr>
        <w:t>3</w:t>
      </w:r>
      <w:r>
        <w:t xml:space="preserve"> </w:t>
      </w:r>
      <w:r w:rsidR="004A2FC6">
        <w:fldChar w:fldCharType="begin"/>
      </w:r>
      <w:r w:rsidR="004A2FC6">
        <w:instrText xml:space="preserve"> ADDIN ZOTERO_ITEM CSL_CITATION {"citationID":"VivJyW22","properties":{"formattedCitation":"Charles W. Lidz, \\uc0\\u8220{}The Therapeutic Misconception and Our Models of Competency and Informed Consent,\\uc0\\u8221{} {\\i{}Behavioral Sciences &amp; the Law} 24, no. 4 (July 2006): 535\\uc0\\u8211{}46, https://doi.org/10.1002/bsl.700.","plainCitation":"Charles W. Lidz, “The Therapeutic Misconception and Our Models of Competency and Informed Consent,” Behavioral Sciences &amp; the Law 24, no. 4 (July 2006): 535–46, https://doi.org/10.1002/bsl.700.","noteIndex":3},"citationItems":[{"id":735,"uris":["http://zotero.org/users/9247336/items/CEDSE5BU"],"itemData":{"id":735,"type":"article-journal","abstract":"Abstract\n            The doctrine of informed consent rests on empirical claims. This is true particularly of what commentators have characterized as the “strong” model of informed consent. This model assumes that if adequate information is given to a competent individual, understanding will result and, permitted to make a voluntary decision, the individual will make a rational decision. However, the “therapeutic misconception” posits that individuals may confuse the goals of research with those of treatment and may make decisions that do not rest on adequate understanding. This article reviews research suggesting that this may in fact be true, and concludes that, as a result, traditional notions of informed consent may not yield results consistent with the assumptions on which the doctrine of informed consent rests. Copyright © 2006 John Wiley &amp; Sons, Ltd.","container-title":"Behavioral Sciences &amp; the Law","DOI":"10.1002/bsl.700","ISSN":"0735-3936, 1099-0798","issue":"4","journalAbbreviation":"Behavioral Sci &amp; The Law","language":"en","license":"http://onlinelibrary.wiley.com/termsAndConditions#vor","page":"535-546","source":"DOI.org (Crossref)","title":"The therapeutic misconception and our models of competency and informed consent","volume":"24","author":[{"family":"Lidz","given":"Charles W."}],"issued":{"date-parts":[["2006",7]]}}}],"schema":"https://github.com/citation-style-language/schema/raw/master/csl-citation.json"} </w:instrText>
      </w:r>
      <w:r w:rsidR="004A2FC6">
        <w:fldChar w:fldCharType="separate"/>
      </w:r>
      <w:r w:rsidR="004A2FC6" w:rsidRPr="00BE10B7">
        <w:rPr>
          <w:rFonts w:ascii="Aptos" w:cs="Times New Roman"/>
          <w:kern w:val="0"/>
        </w:rPr>
        <w:t xml:space="preserve">Charles W. </w:t>
      </w:r>
      <w:proofErr w:type="spellStart"/>
      <w:r w:rsidR="004A2FC6" w:rsidRPr="00BE10B7">
        <w:rPr>
          <w:rFonts w:ascii="Aptos" w:cs="Times New Roman"/>
          <w:kern w:val="0"/>
        </w:rPr>
        <w:t>Lidz</w:t>
      </w:r>
      <w:proofErr w:type="spellEnd"/>
      <w:r w:rsidR="004A2FC6" w:rsidRPr="00BE10B7">
        <w:rPr>
          <w:rFonts w:ascii="Aptos" w:cs="Times New Roman"/>
          <w:kern w:val="0"/>
        </w:rPr>
        <w:t xml:space="preserve">, “The Therapeutic Misconception and Our Models of Competency and Informed Consent,” </w:t>
      </w:r>
      <w:r w:rsidR="004A2FC6" w:rsidRPr="00BE10B7">
        <w:rPr>
          <w:rFonts w:ascii="Aptos" w:cs="Times New Roman"/>
          <w:i/>
          <w:iCs/>
          <w:kern w:val="0"/>
        </w:rPr>
        <w:t>Behavioral Sciences &amp; the Law</w:t>
      </w:r>
      <w:r w:rsidR="004A2FC6" w:rsidRPr="00BE10B7">
        <w:rPr>
          <w:rFonts w:ascii="Aptos" w:cs="Times New Roman"/>
          <w:kern w:val="0"/>
        </w:rPr>
        <w:t xml:space="preserve"> 24, no. 4 (July 2006): 535–46, https://doi.org/10.1002/bsl.700.</w:t>
      </w:r>
      <w:r w:rsidR="004A2FC6">
        <w:fldChar w:fldCharType="end"/>
      </w:r>
    </w:p>
    <w:p w14:paraId="1E77760E" w14:textId="0E5B136D" w:rsidR="004A2FC6" w:rsidRDefault="009508CF" w:rsidP="009508CF">
      <w:pPr>
        <w:pStyle w:val="EndnoteText"/>
      </w:pPr>
      <w:r>
        <w:rPr>
          <w:rStyle w:val="EndnoteReference"/>
        </w:rPr>
        <w:t>4</w:t>
      </w:r>
      <w:r w:rsidR="004A2FC6">
        <w:t xml:space="preserve"> </w:t>
      </w:r>
      <w:r w:rsidR="004A2FC6">
        <w:fldChar w:fldCharType="begin"/>
      </w:r>
      <w:r w:rsidR="004A2FC6">
        <w:instrText xml:space="preserve"> ADDIN ZOTERO_ITEM CSL_CITATION {"citationID":"zkAP9ePa","properties":{"formattedCitation":"Matthew Miller, \\uc0\\u8220{}Phase I Cancer Trials: A Collusion of Misunderstanding,\\uc0\\u8221{} {\\i{}The Hastings Center Report} 30, no. 4 (July 2000): 34, https://doi.org/10.2307/3527646.","plainCitation":"Matthew Miller, “Phase I Cancer Trials: A Collusion of Misunderstanding,” The Hastings Center Report 30, no. 4 (July 2000): 34, https://doi.org/10.2307/3527646.","noteIndex":4},"citationItems":[{"id":737,"uris":["http://zotero.org/users/9247336/items/TBRFN9ZK"],"itemData":{"id":737,"type":"article-journal","container-title":"The Hastings Center Report","DOI":"10.2307/3527646","ISSN":"00930334","issue":"4","journalAbbreviation":"The Hastings Center Report","language":"en","page":"34","source":"DOI.org (Crossref)","title":"Phase I Cancer Trials: A Collusion of Misunderstanding","title-short":"Phase I Cancer Trials","volume":"30","author":[{"family":"Miller","given":"Matthew"}],"issued":{"date-parts":[["2000",7]]}}}],"schema":"https://github.com/citation-style-language/schema/raw/master/csl-citation.json"} </w:instrText>
      </w:r>
      <w:r w:rsidR="004A2FC6">
        <w:fldChar w:fldCharType="separate"/>
      </w:r>
      <w:r w:rsidR="004A2FC6" w:rsidRPr="00BE10B7">
        <w:rPr>
          <w:rFonts w:ascii="Aptos" w:cs="Times New Roman"/>
          <w:kern w:val="0"/>
        </w:rPr>
        <w:t xml:space="preserve">Matthew Miller, “Phase I Cancer Trials: A Collusion of Misunderstanding,” </w:t>
      </w:r>
      <w:r w:rsidR="004A2FC6" w:rsidRPr="00BE10B7">
        <w:rPr>
          <w:rFonts w:ascii="Aptos" w:cs="Times New Roman"/>
          <w:i/>
          <w:iCs/>
          <w:kern w:val="0"/>
        </w:rPr>
        <w:t>The Hastings Center Report</w:t>
      </w:r>
      <w:r w:rsidR="004A2FC6" w:rsidRPr="00BE10B7">
        <w:rPr>
          <w:rFonts w:ascii="Aptos" w:cs="Times New Roman"/>
          <w:kern w:val="0"/>
        </w:rPr>
        <w:t xml:space="preserve"> 30, no. 4 (July 2000): 34, https://doi.org/10.2307/3527646.</w:t>
      </w:r>
      <w:r w:rsidR="004A2FC6">
        <w:fldChar w:fldCharType="end"/>
      </w:r>
    </w:p>
    <w:p w14:paraId="67F8B26E" w14:textId="478CA6FA" w:rsidR="004A2FC6" w:rsidRDefault="009508CF" w:rsidP="009508CF">
      <w:pPr>
        <w:pStyle w:val="EndnoteText"/>
      </w:pPr>
      <w:r>
        <w:rPr>
          <w:rStyle w:val="EndnoteReference"/>
        </w:rPr>
        <w:t>5</w:t>
      </w:r>
      <w:r w:rsidR="004A2FC6">
        <w:t xml:space="preserve"> Section 5.7, </w:t>
      </w:r>
      <w:r w:rsidR="004A2FC6">
        <w:fldChar w:fldCharType="begin"/>
      </w:r>
      <w:r w:rsidR="004A2FC6">
        <w:instrText xml:space="preserve"> ADDIN ZOTERO_ITEM CSL_CITATION {"citationID":"9W66Tmso","properties":{"formattedCitation":"David B. Resnik and Mohammad Hosseini, \\uc0\\u8220{}The Ethics of Using Artificial Intelligence in Scientific Research: New Guidance Needed for a New Tool,\\uc0\\u8221{} {\\i{}AI and Ethics}, May 27, 2024, https://doi.org/10.1007/s43681-024-00493-8.","plainCitation":"David B. Resnik and Mohammad Hosseini, “The Ethics of Using Artificial Intelligence in Scientific Research: New Guidance Needed for a New Tool,” AI and Ethics, May 27, 2024, https://doi.org/10.1007/s43681-024-00493-8.","noteIndex":5},"citationItems":[{"id":818,"uris":["http://zotero.org/users/9247336/items/AISAIULS"],"itemData":{"id":818,"type":"article-journal","abstract":"Using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AI.","container-title":"AI and Ethics","DOI":"10.1007/s43681-024-00493-8","ISSN":"2730-5953, 2730-5961","journalAbbreviation":"AI Ethics","language":"en","source":"DOI.org (Crossref)","title":"The ethics of using artificial intelligence in scientific research: new guidance needed for a new tool","title-short":"The ethics of using artificial intelligence in scientific research","URL":"https://link.springer.com/10.1007/s43681-024-00493-8","author":[{"family":"Resnik","given":"David B."},{"family":"Hosseini","given":"Mohammad"}],"accessed":{"date-parts":[["2025",3,12]]},"issued":{"date-parts":[["2024",5,27]]}}}],"schema":"https://github.com/citation-style-language/schema/raw/master/csl-citation.json"} </w:instrText>
      </w:r>
      <w:r w:rsidR="004A2FC6">
        <w:fldChar w:fldCharType="separate"/>
      </w:r>
      <w:r w:rsidR="004A2FC6" w:rsidRPr="00BE10B7">
        <w:rPr>
          <w:rFonts w:ascii="Aptos" w:cs="Times New Roman"/>
          <w:kern w:val="0"/>
        </w:rPr>
        <w:t xml:space="preserve">David B. Resnik and Mohammad Hosseini, “The Ethics of Using Artificial Intelligence in Scientific Research: New Guidance Needed for a New Tool,” </w:t>
      </w:r>
      <w:r w:rsidR="004A2FC6" w:rsidRPr="00BE10B7">
        <w:rPr>
          <w:rFonts w:ascii="Aptos" w:cs="Times New Roman"/>
          <w:i/>
          <w:iCs/>
          <w:kern w:val="0"/>
        </w:rPr>
        <w:t>AI and Ethics</w:t>
      </w:r>
      <w:r w:rsidR="004A2FC6" w:rsidRPr="00BE10B7">
        <w:rPr>
          <w:rFonts w:ascii="Aptos" w:cs="Times New Roman"/>
          <w:kern w:val="0"/>
        </w:rPr>
        <w:t>, May 27, 2024, https://doi.org/10.1007/s43681-024-00493-8.</w:t>
      </w:r>
      <w:r w:rsidR="004A2FC6">
        <w:fldChar w:fldCharType="end"/>
      </w:r>
      <w:r w:rsidR="004A2FC6">
        <w:t xml:space="preserve"> </w:t>
      </w:r>
    </w:p>
    <w:p w14:paraId="4AE208CA" w14:textId="52D384DC" w:rsidR="004A2FC6" w:rsidRDefault="009508CF" w:rsidP="009508CF">
      <w:pPr>
        <w:pStyle w:val="EndnoteText"/>
      </w:pPr>
      <w:r>
        <w:rPr>
          <w:rStyle w:val="EndnoteReference"/>
        </w:rPr>
        <w:t>6</w:t>
      </w:r>
      <w:r w:rsidR="004A2FC6">
        <w:t xml:space="preserve"> </w:t>
      </w:r>
      <w:r w:rsidR="004A2FC6">
        <w:fldChar w:fldCharType="begin"/>
      </w:r>
      <w:r w:rsidR="004A2FC6">
        <w:instrText xml:space="preserve"> ADDIN ZOTERO_ITEM CSL_CITATION {"citationID":"s9AT8yPu","properties":{"formattedCitation":"Kun-Hsing Yu et al., \\uc0\\u8220{}Medical Artificial Intelligence and Human Values,\\uc0\\u8221{} ed. Jeffrey M. Drazen, {\\i{}New England Journal of Medicine} 390, no. 20 (May 30, 2024): 1895\\uc0\\u8211{}1904, https://doi.org/10.1056/NEJMra2214183.","plainCitation":"Kun-Hsing Yu et al., “Medical Artificial Intelligence and Human Values,” ed. Jeffrey M. Drazen, New England Journal of Medicine 390, no. 20 (May 30, 2024): 1895–1904, https://doi.org/10.1056/NEJMra2214183.","noteIndex":6},"citationItems":[{"id":819,"uris":["http://zotero.org/users/9247336/items/FU4AYYJW"],"itemData":{"id":819,"type":"article-journal","container-title":"New England Journal of Medicine","DOI":"10.1056/NEJMra2214183","ISSN":"0028-4793, 1533-4406","issue":"20","journalAbbreviation":"N Engl J Med","language":"en","page":"1895-1904","source":"DOI.org (Crossref)","title":"Medical Artificial Intelligence and Human Values","volume":"390","editor":[{"family":"Drazen","given":"Jeffrey M."}],"author":[{"family":"Yu","given":"Kun-Hsing"},{"family":"Healey","given":"Elizabeth"},{"family":"Leong","given":"Tze-Yun"},{"family":"Kohane","given":"Isaac S."},{"family":"Manrai","given":"Arjun K."}],"issued":{"date-parts":[["2024",5,30]]}}}],"schema":"https://github.com/citation-style-language/schema/raw/master/csl-citation.json"} </w:instrText>
      </w:r>
      <w:r w:rsidR="004A2FC6">
        <w:fldChar w:fldCharType="separate"/>
      </w:r>
      <w:r w:rsidR="004A2FC6" w:rsidRPr="00BE10B7">
        <w:rPr>
          <w:rFonts w:ascii="Aptos" w:cs="Times New Roman"/>
          <w:kern w:val="0"/>
        </w:rPr>
        <w:t xml:space="preserve">Kun-Hsing Yu et al., “Medical Artificial Intelligence and Human Values,” ed. Jeffrey M. Drazen, </w:t>
      </w:r>
      <w:r w:rsidR="004A2FC6" w:rsidRPr="00BE10B7">
        <w:rPr>
          <w:rFonts w:ascii="Aptos" w:cs="Times New Roman"/>
          <w:i/>
          <w:iCs/>
          <w:kern w:val="0"/>
        </w:rPr>
        <w:t>New England Journal of Medicine</w:t>
      </w:r>
      <w:r w:rsidR="004A2FC6" w:rsidRPr="00BE10B7">
        <w:rPr>
          <w:rFonts w:ascii="Aptos" w:cs="Times New Roman"/>
          <w:kern w:val="0"/>
        </w:rPr>
        <w:t xml:space="preserve"> 390, no. 20 (May 30, 2024): 1895–1904, https://doi.org/10.1056/NEJMra2214183.</w:t>
      </w:r>
      <w:r w:rsidR="004A2FC6">
        <w:fldChar w:fldCharType="end"/>
      </w:r>
    </w:p>
    <w:p w14:paraId="5C781DA0" w14:textId="736466A2" w:rsidR="004A2FC6" w:rsidRDefault="009508CF" w:rsidP="009508CF">
      <w:pPr>
        <w:pStyle w:val="EndnoteText"/>
      </w:pPr>
      <w:r>
        <w:rPr>
          <w:rStyle w:val="EndnoteReference"/>
        </w:rPr>
        <w:t>7</w:t>
      </w:r>
      <w:r w:rsidR="004A2FC6">
        <w:t xml:space="preserve"> </w:t>
      </w:r>
      <w:r w:rsidR="004A2FC6">
        <w:fldChar w:fldCharType="begin"/>
      </w:r>
      <w:r w:rsidR="004A2FC6">
        <w:instrText xml:space="preserve"> ADDIN ZOTERO_ITEM CSL_CITATION {"citationID":"Wu1uZEXo","properties":{"formattedCitation":"Lidz, \\uc0\\u8220{}The Therapeutic Misconception and Our Models of Competency and Informed Consent.\\uc0\\u8221{}","plainCitation":"Lidz, “The Therapeutic Misconception and Our Models of Competency and Informed Consent.”","noteIndex":7},"citationItems":[{"id":735,"uris":["http://zotero.org/users/9247336/items/CEDSE5BU"],"itemData":{"id":735,"type":"article-journal","abstract":"Abstract\n            The doctrine of informed consent rests on empirical claims. This is true particularly of what commentators have characterized as the “strong” model of informed consent. This model assumes that if adequate information is given to a competent individual, understanding will result and, permitted to make a voluntary decision, the individual will make a rational decision. However, the “therapeutic misconception” posits that individuals may confuse the goals of research with those of treatment and may make decisions that do not rest on adequate understanding. This article reviews research suggesting that this may in fact be true, and concludes that, as a result, traditional notions of informed consent may not yield results consistent with the assumptions on which the doctrine of informed consent rests. Copyright © 2006 John Wiley &amp; Sons, Ltd.","container-title":"Behavioral Sciences &amp; the Law","DOI":"10.1002/bsl.700","ISSN":"0735-3936, 1099-0798","issue":"4","journalAbbreviation":"Behavioral Sci &amp; The Law","language":"en","license":"http://onlinelibrary.wiley.com/termsAndConditions#vor","page":"535-546","source":"DOI.org (Crossref)","title":"The therapeutic misconception and our models of competency and informed consent","volume":"24","author":[{"family":"Lidz","given":"Charles W."}],"issued":{"date-parts":[["2006",7]]}}}],"schema":"https://github.com/citation-style-language/schema/raw/master/csl-citation.json"} </w:instrText>
      </w:r>
      <w:r w:rsidR="004A2FC6">
        <w:fldChar w:fldCharType="separate"/>
      </w:r>
      <w:proofErr w:type="spellStart"/>
      <w:r w:rsidR="004A2FC6" w:rsidRPr="00BE10B7">
        <w:rPr>
          <w:rFonts w:ascii="Aptos" w:cs="Times New Roman"/>
          <w:kern w:val="0"/>
        </w:rPr>
        <w:t>Lidz</w:t>
      </w:r>
      <w:proofErr w:type="spellEnd"/>
      <w:r w:rsidR="004A2FC6" w:rsidRPr="00BE10B7">
        <w:rPr>
          <w:rFonts w:ascii="Aptos" w:cs="Times New Roman"/>
          <w:kern w:val="0"/>
        </w:rPr>
        <w:t>, “The Therapeutic Misconception and Our Models of Competency and Informed Consent.”</w:t>
      </w:r>
      <w:r w:rsidR="004A2FC6">
        <w:fldChar w:fldCharType="end"/>
      </w:r>
    </w:p>
    <w:p w14:paraId="071560B7" w14:textId="4ED37F0C" w:rsidR="004A2FC6" w:rsidRDefault="009508CF" w:rsidP="009508CF">
      <w:pPr>
        <w:pStyle w:val="EndnoteText"/>
      </w:pPr>
      <w:r>
        <w:rPr>
          <w:rStyle w:val="EndnoteReference"/>
        </w:rPr>
        <w:t>8</w:t>
      </w:r>
      <w:r w:rsidR="004A2FC6">
        <w:t xml:space="preserve"> </w:t>
      </w:r>
      <w:r w:rsidR="004A2FC6">
        <w:fldChar w:fldCharType="begin"/>
      </w:r>
      <w:r w:rsidR="004A2FC6">
        <w:instrText xml:space="preserve"> ADDIN ZOTERO_ITEM CSL_CITATION {"citationID":"awqt2SzF","properties":{"formattedCitation":"Phoebe Friesen et al., \\uc0\\u8220{}Governing AI\\uc0\\u8208{}Driven Health Research: Are IRBs Up to the Task?,\\uc0\\u8221{} {\\i{}Ethics &amp; Human Research} 43, no. 2 (March 2021): 35\\uc0\\u8211{}42, https://doi.org/10.1002/eahr.500085.","plainCitation":"Phoebe Friesen et al., “Governing AI</w:instrText>
      </w:r>
      <w:r w:rsidR="004A2FC6">
        <w:rPr>
          <w:rFonts w:ascii="Cambria Math" w:hAnsi="Cambria Math" w:cs="Cambria Math"/>
        </w:rPr>
        <w:instrText>‐</w:instrText>
      </w:r>
      <w:r w:rsidR="004A2FC6">
        <w:instrText>Driven Health Research: Are IRBs Up to the Task?,” Ethics &amp; Human Research 43, no. 2 (March 2021): 35–42, https://doi.org/10.1002/eahr.500085.","noteIndex":8},"citationItems":[{"id":890,"uris":["http://zotero.org/users/9247336/items/MIS8SUCF"],"itemData":{"id":890,"type":"article-journal","abstract":"ABSTRACT\n            Many are calling for concrete mechanisms of oversight for health research involving artificial intelligence (AI). In response, institutional review boards (IRBs) are being turned to as a familiar model of governance. Here, we examine the IRB model as a form of ethics oversight for health research that uses AI. We consider the model's origins, analyze the challenges IRBs are facing in the contexts of both industry and academia, and offer concrete recommendations for how these committees might be adapted in order to provide an effective mechanism of oversight for health</w:instrText>
      </w:r>
      <w:r w:rsidR="004A2FC6">
        <w:rPr>
          <w:rFonts w:ascii="Cambria Math" w:hAnsi="Cambria Math" w:cs="Cambria Math"/>
        </w:rPr>
        <w:instrText>‐</w:instrText>
      </w:r>
      <w:r w:rsidR="004A2FC6">
        <w:instrText>related AI research.","container-title":"Ethics &amp; Human Research","DOI":"10.1002/eahr.500085","ISSN":"2578-2355, 2578-2363","issue":"2","journalAbbreviation":"Ethics &amp; Human Research","language":"en","page":"35-42","source":"DOI.org (Crossref)","title":"Governing AI</w:instrText>
      </w:r>
      <w:r w:rsidR="004A2FC6">
        <w:rPr>
          <w:rFonts w:ascii="Cambria Math" w:hAnsi="Cambria Math" w:cs="Cambria Math"/>
        </w:rPr>
        <w:instrText>‐</w:instrText>
      </w:r>
      <w:r w:rsidR="004A2FC6">
        <w:instrText>Driven Health Research: Are IRBs Up to the Task?","title-short":"Governing AI</w:instrText>
      </w:r>
      <w:r w:rsidR="004A2FC6">
        <w:rPr>
          <w:rFonts w:ascii="Cambria Math" w:hAnsi="Cambria Math" w:cs="Cambria Math"/>
        </w:rPr>
        <w:instrText>‐</w:instrText>
      </w:r>
      <w:r w:rsidR="004A2FC6">
        <w:instrText>Driven Health Research","volume":"43","author":[{"family":"Friesen","given":"Phoebe"},{"family":"Douglas</w:instrText>
      </w:r>
      <w:r w:rsidR="004A2FC6">
        <w:rPr>
          <w:rFonts w:ascii="Cambria Math" w:hAnsi="Cambria Math" w:cs="Cambria Math"/>
        </w:rPr>
        <w:instrText>‐</w:instrText>
      </w:r>
      <w:r w:rsidR="004A2FC6">
        <w:instrText xml:space="preserve">Jones","given":"Rachel"},{"family":"Marks","given":"Mason"},{"family":"Pierce","given":"Robin"},{"family":"Fletcher","given":"Katherine"},{"family":"Mishra","given":"Abhishek"},{"family":"Lorimer","given":"Jessica"},{"family":"Véliz","given":"Carissa"},{"family":"Hallowell","given":"Nina"},{"family":"Graham","given":"Mackenzie"},{"family":"Chan","given":"Mei Sum"},{"family":"Davies","given":"Huw"},{"family":"Sallamuddin","given":"Taj"}],"issued":{"date-parts":[["2021",3]]}}}],"schema":"https://github.com/citation-style-language/schema/raw/master/csl-citation.json"} </w:instrText>
      </w:r>
      <w:r w:rsidR="004A2FC6">
        <w:fldChar w:fldCharType="separate"/>
      </w:r>
      <w:r w:rsidR="004A2FC6" w:rsidRPr="00BE10B7">
        <w:rPr>
          <w:rFonts w:ascii="Aptos" w:cs="Times New Roman"/>
          <w:kern w:val="0"/>
        </w:rPr>
        <w:t xml:space="preserve">Phoebe Friesen et al., “Governing AI‐Driven Health Research: Are IRBs Up to the </w:t>
      </w:r>
      <w:proofErr w:type="gramStart"/>
      <w:r w:rsidR="004A2FC6" w:rsidRPr="00BE10B7">
        <w:rPr>
          <w:rFonts w:ascii="Aptos" w:cs="Times New Roman"/>
          <w:kern w:val="0"/>
        </w:rPr>
        <w:t>Task?,</w:t>
      </w:r>
      <w:proofErr w:type="gramEnd"/>
      <w:r w:rsidR="004A2FC6" w:rsidRPr="00BE10B7">
        <w:rPr>
          <w:rFonts w:ascii="Aptos" w:cs="Times New Roman"/>
          <w:kern w:val="0"/>
        </w:rPr>
        <w:t xml:space="preserve">” </w:t>
      </w:r>
      <w:r w:rsidR="004A2FC6" w:rsidRPr="00BE10B7">
        <w:rPr>
          <w:rFonts w:ascii="Aptos" w:cs="Times New Roman"/>
          <w:i/>
          <w:iCs/>
          <w:kern w:val="0"/>
        </w:rPr>
        <w:t>Ethics &amp; Human Research</w:t>
      </w:r>
      <w:r w:rsidR="004A2FC6" w:rsidRPr="00BE10B7">
        <w:rPr>
          <w:rFonts w:ascii="Aptos" w:cs="Times New Roman"/>
          <w:kern w:val="0"/>
        </w:rPr>
        <w:t xml:space="preserve"> 43, no. 2 (March 2021): 35–42, https://doi.org/10.1002/eahr.500085.</w:t>
      </w:r>
      <w:r w:rsidR="004A2FC6">
        <w:fldChar w:fldCharType="end"/>
      </w:r>
    </w:p>
    <w:p w14:paraId="5A2BFAEF" w14:textId="64330E56" w:rsidR="004A2FC6" w:rsidRDefault="009508CF" w:rsidP="009508CF">
      <w:pPr>
        <w:pStyle w:val="EndnoteText"/>
      </w:pPr>
      <w:r>
        <w:rPr>
          <w:rStyle w:val="EndnoteReference"/>
        </w:rPr>
        <w:t>9</w:t>
      </w:r>
      <w:r w:rsidR="004A2FC6">
        <w:t xml:space="preserve"> </w:t>
      </w:r>
      <w:r w:rsidR="004A2FC6">
        <w:fldChar w:fldCharType="begin"/>
      </w:r>
      <w:r w:rsidR="004A2FC6">
        <w:instrText xml:space="preserve"> ADDIN ZOTERO_ITEM CSL_CITATION {"citationID":"meu0iDWa","properties":{"formattedCitation":"Luciano Floridi, {\\i{}The Ethics of Artificial Intelligence: Principles, Challenges, and Opportunities}, 1st ed. (Oxford University PressOxford, 2023), https://doi.org/10.1093/oso/9780198883098.001.0001.","plainCitation":"Luciano Floridi, The Ethics of Artificial Intelligence: Principles, Challenges, and Opportunities, 1st ed. (Oxford University PressOxford, 2023), https://doi.org/10.1093/oso/9780198883098.001.0001.","noteIndex":9},"citationItems":[{"id":52,"uris":["http://zotero.org/users/9247336/items/ZCFKKL59"],"itemData":{"id":52,"type":"book","abstract":"Abstract\n            The book has two goals. The first goal is meta-theoretical and is fulfilled by Part One: an interpretation of the past (Chapter 1), the present (Chapter 2), and the future of AI (Chapter 3). Part One develops the thesis that AI is an unprecedented divorce between agency and intelligence. On this basis, Part Two investigates the consequences of such a divorce, developing the thesis that AI as a new form of agency can be harnessed ethically and unethically. Chapter 4 offers a unified perspective on the many principles that have been proposed to frame the ethics of AI. Chapter 5 discusses the potential risks that may undermine the application of these principles, and then Chapter 6 analyses the relation between ethical principles and legal norms, and offers a definition of soft ethics as post-compliance ethics. Chapters 7–9 analyse the ethical challenges caused by the development and use of AI, evil uses of AI, and good practices when applying AI. The last group of chapters focuses on AI for social good or AI4SG (Chapter 10), the positive and negative impacts of AI on the environment (Chapter 11), and the possibility of using AI in support of the United Nations Sustainable Development Goals (Chapter 12).The book concludes (Chapter 13) by arguing in favour of a new marriage between the Green of all our habitats and the Blue of all our digital technologies and how this new marriage can support and develop a better society and a healthier biosphere.","edition":"1","ISBN":"978-0-19-888309-8","language":"en","note":"DOI: 10.1093/oso/9780198883098.001.0001","publisher":"Oxford University PressOxford","source":"DOI.org (Crossref)","title":"The Ethics of Artificial Intelligence: Principles, Challenges, and Opportunities","title-short":"The Ethics of Artificial Intelligence","URL":"https://academic.oup.com/book/46748","author":[{"family":"Floridi","given":"Luciano"}],"accessed":{"date-parts":[["2024",10,17]]},"issued":{"date-parts":[["2023",8,11]]}}}],"schema":"https://github.com/citation-style-language/schema/raw/master/csl-citation.json"} </w:instrText>
      </w:r>
      <w:r w:rsidR="004A2FC6">
        <w:fldChar w:fldCharType="separate"/>
      </w:r>
      <w:r w:rsidR="004A2FC6" w:rsidRPr="00BE10B7">
        <w:rPr>
          <w:rFonts w:ascii="Aptos" w:cs="Times New Roman"/>
          <w:kern w:val="0"/>
        </w:rPr>
        <w:t xml:space="preserve">Luciano </w:t>
      </w:r>
      <w:proofErr w:type="spellStart"/>
      <w:r w:rsidR="004A2FC6" w:rsidRPr="00BE10B7">
        <w:rPr>
          <w:rFonts w:ascii="Aptos" w:cs="Times New Roman"/>
          <w:kern w:val="0"/>
        </w:rPr>
        <w:t>Floridi</w:t>
      </w:r>
      <w:proofErr w:type="spellEnd"/>
      <w:r w:rsidR="004A2FC6" w:rsidRPr="00BE10B7">
        <w:rPr>
          <w:rFonts w:ascii="Aptos" w:cs="Times New Roman"/>
          <w:kern w:val="0"/>
        </w:rPr>
        <w:t xml:space="preserve">, </w:t>
      </w:r>
      <w:r w:rsidR="004A2FC6" w:rsidRPr="00BE10B7">
        <w:rPr>
          <w:rFonts w:ascii="Aptos" w:cs="Times New Roman"/>
          <w:i/>
          <w:iCs/>
          <w:kern w:val="0"/>
        </w:rPr>
        <w:t>The Ethics of Artificial Intelligence: Principles, Challenges, and Opportunities</w:t>
      </w:r>
      <w:r w:rsidR="004A2FC6" w:rsidRPr="00BE10B7">
        <w:rPr>
          <w:rFonts w:ascii="Aptos" w:cs="Times New Roman"/>
          <w:kern w:val="0"/>
        </w:rPr>
        <w:t xml:space="preserve">, 1st ed. (Oxford University </w:t>
      </w:r>
      <w:proofErr w:type="spellStart"/>
      <w:r w:rsidR="004A2FC6" w:rsidRPr="00BE10B7">
        <w:rPr>
          <w:rFonts w:ascii="Aptos" w:cs="Times New Roman"/>
          <w:kern w:val="0"/>
        </w:rPr>
        <w:t>PressOxford</w:t>
      </w:r>
      <w:proofErr w:type="spellEnd"/>
      <w:r w:rsidR="004A2FC6" w:rsidRPr="00BE10B7">
        <w:rPr>
          <w:rFonts w:ascii="Aptos" w:cs="Times New Roman"/>
          <w:kern w:val="0"/>
        </w:rPr>
        <w:t>, 2023), https://doi.org/10.1093/oso/9780198883098.001.0001.</w:t>
      </w:r>
      <w:r w:rsidR="004A2FC6">
        <w:fldChar w:fldCharType="end"/>
      </w:r>
    </w:p>
    <w:p w14:paraId="64469457" w14:textId="4755075E" w:rsidR="004A2FC6" w:rsidRDefault="009508CF" w:rsidP="009508CF">
      <w:pPr>
        <w:pStyle w:val="EndnoteText"/>
      </w:pPr>
      <w:r>
        <w:rPr>
          <w:rStyle w:val="EndnoteReference"/>
        </w:rPr>
        <w:t>1</w:t>
      </w:r>
      <w:r w:rsidRPr="009508CF">
        <w:rPr>
          <w:vertAlign w:val="superscript"/>
        </w:rPr>
        <w:t>0</w:t>
      </w:r>
      <w:r w:rsidR="004A2FC6">
        <w:t xml:space="preserve"> </w:t>
      </w:r>
      <w:r w:rsidR="004A2FC6">
        <w:fldChar w:fldCharType="begin"/>
      </w:r>
      <w:r w:rsidR="004A2FC6">
        <w:instrText xml:space="preserve"> ADDIN ZOTERO_ITEM CSL_CITATION {"citationID":"bLSdRD2T","properties":{"formattedCitation":"Ting-An Lin and Po-Hsuan Cameron Chen, \\uc0\\u8220{}Artificial Intelligence in a Structurally Unjust Society,\\uc0\\u8221{} {\\i{}Feminist Philosophy Quarterly} 8, no. 3/4 (December 21, 2022), https://doi.org/10.5206/fpq/2022.3/4.14191.","plainCitation":"Ting-An Lin and Po-Hsuan Cameron Chen, “Artificial Intelligence in a Structurally Unjust Society,” Feminist Philosophy Quarterly 8, no. 3/4 (December 21, 2022), https://doi.org/10.5206/fpq/2022.3/4.14191.","noteIndex":10},"citationItems":[{"id":58,"uris":["http://zotero.org/users/9247336/items/ERUJDVL2"],"itemData":{"id":58,"type":"article-journal","abstract":"Increasing concerns have been raised regarding artificial intelligence (AI) bias, and in response, efforts have been made to pursue AI fairness. In this paper, we argue that the idea of structural injustice serves as a helpful framework for clarifying the ethical concerns surrounding AI bias—including the nature of its moral problem and the responsibility for addressing it—and reconceptualizing the approach to pursuing AI fairness. Using AI in health care as a case study, we argue that AI bias is a form of structural injustice that exists when AI systems interact with other social factors to exacerbate existing social inequalities, making some groups of people more vulnerable to undeserved burdens while conferring unearned benefits to others. The goal of AI fairness, understood this way, is to pursue a more just social structure with the development and use of AI systems when appropriate. We further argue that all participating agents in the unjust social structure associated with AI bias bear a shared responsibility to join collective action with the goal of reforming the social structure, and we provide a list of practical recommendations for agents in various social positions to contribute to this collective action.","container-title":"Feminist Philosophy Quarterly","DOI":"10.5206/fpq/2022.3/4.14191","ISSN":"2371-2570","issue":"3/4","journalAbbreviation":"FPQ","license":"http://creativecommons.org/licenses/by/4.0","source":"DOI.org (Crossref)","title":"Artificial Intelligence in a Structurally Unjust Society","URL":"https://ojs.lib.uwo.ca/index.php/fpq/article/view/14191","volume":"8","author":[{"family":"Lin","given":"Ting-An"},{"family":"Chen","given":"Po-Hsuan Cameron"}],"accessed":{"date-parts":[["2024",10,17]]},"issued":{"date-parts":[["2022",12,21]]}}}],"schema":"https://github.com/citation-style-language/schema/raw/master/csl-citation.json"} </w:instrText>
      </w:r>
      <w:r w:rsidR="004A2FC6">
        <w:fldChar w:fldCharType="separate"/>
      </w:r>
      <w:r w:rsidR="004A2FC6" w:rsidRPr="00BE10B7">
        <w:rPr>
          <w:rFonts w:ascii="Aptos" w:cs="Times New Roman"/>
          <w:kern w:val="0"/>
        </w:rPr>
        <w:t xml:space="preserve">Ting-An Lin and Po-Hsuan Cameron Chen, “Artificial Intelligence in a Structurally Unjust Society,” </w:t>
      </w:r>
      <w:r w:rsidR="004A2FC6" w:rsidRPr="00BE10B7">
        <w:rPr>
          <w:rFonts w:ascii="Aptos" w:cs="Times New Roman"/>
          <w:i/>
          <w:iCs/>
          <w:kern w:val="0"/>
        </w:rPr>
        <w:t>Feminist Philosophy Quarterly</w:t>
      </w:r>
      <w:r w:rsidR="004A2FC6" w:rsidRPr="00BE10B7">
        <w:rPr>
          <w:rFonts w:ascii="Aptos" w:cs="Times New Roman"/>
          <w:kern w:val="0"/>
        </w:rPr>
        <w:t xml:space="preserve"> 8, no. 3/4 (December 21, 2022), https://doi.org/10.5206/fpq/2022.3/4.14191.</w:t>
      </w:r>
      <w:r w:rsidR="004A2FC6">
        <w:fldChar w:fldCharType="end"/>
      </w:r>
    </w:p>
    <w:p w14:paraId="02B5AE91" w14:textId="45A27DD7" w:rsidR="004A2FC6" w:rsidRDefault="004A2FC6" w:rsidP="009508CF">
      <w:pPr>
        <w:pStyle w:val="EndnoteText"/>
      </w:pPr>
      <w:r>
        <w:rPr>
          <w:rStyle w:val="EndnoteReference"/>
        </w:rPr>
        <w:footnoteRef/>
      </w:r>
      <w:r w:rsidR="009508CF" w:rsidRPr="009508CF">
        <w:rPr>
          <w:vertAlign w:val="superscript"/>
        </w:rPr>
        <w:t>1</w:t>
      </w:r>
      <w:r>
        <w:t xml:space="preserve"> </w:t>
      </w:r>
      <w:r>
        <w:fldChar w:fldCharType="begin"/>
      </w:r>
      <w:r>
        <w:instrText xml:space="preserve"> ADDIN ZOTERO_ITEM CSL_CITATION {"citationID":"Vfai9S4X","properties":{"formattedCitation":"Jane Kaye et al., \\uc0\\u8220{}Dynamic Consent: A Patient Interface for Twenty-First Century Research Networks,\\uc0\\u8221{} {\\i{}European Journal of Human Genetics} 23, no. 2 (February 2015): 141\\uc0\\u8211{}46, https://doi.org/10.1038/ejhg.2014.71.","plainCitation":"Jane Kaye et al., “Dynamic Consent: A Patient Interface for Twenty-First Century Research Networks,” European Journal of Human Genetics 23, no. 2 (February 2015): 141–46, https://doi.org/10.1038/ejhg.2014.71.","noteIndex":11},"citationItems":[{"id":893,"uris":["http://zotero.org/users/9247336/items/E8IT7Z25"],"itemData":{"id":893,"type":"article-journal","container-title":"European Journal of Human Genetics","DOI":"10.1038/ejhg.2014.71","ISSN":"1018-4813, 1476-5438","issue":"2","journalAbbreviation":"Eur J Hum Genet","language":"en","page":"141-146","source":"DOI.org (Crossref)","title":"Dynamic consent: a patient interface for twenty-first century research networks","title-short":"Dynamic consent","volume":"23","author":[{"family":"Kaye","given":"Jane"},{"family":"Whitley","given":"Edgar A"},{"family":"Lund","given":"David"},{"family":"Morrison","given":"Michael"},{"family":"Teare","given":"Harriet"},{"family":"Melham","given":"Karen"}],"issued":{"date-parts":[["2015",2]]}}}],"schema":"https://github.com/citation-style-language/schema/raw/master/csl-citation.json"} </w:instrText>
      </w:r>
      <w:r>
        <w:fldChar w:fldCharType="separate"/>
      </w:r>
      <w:r w:rsidRPr="00BE10B7">
        <w:rPr>
          <w:rFonts w:ascii="Aptos" w:cs="Times New Roman"/>
          <w:kern w:val="0"/>
        </w:rPr>
        <w:t xml:space="preserve">Jane Kaye et al., “Dynamic Consent: A Patient Interface for Twenty-First Century Research Networks,” </w:t>
      </w:r>
      <w:r w:rsidRPr="00BE10B7">
        <w:rPr>
          <w:rFonts w:ascii="Aptos" w:cs="Times New Roman"/>
          <w:i/>
          <w:iCs/>
          <w:kern w:val="0"/>
        </w:rPr>
        <w:t>European Journal of Human Genetics</w:t>
      </w:r>
      <w:r w:rsidRPr="00BE10B7">
        <w:rPr>
          <w:rFonts w:ascii="Aptos" w:cs="Times New Roman"/>
          <w:kern w:val="0"/>
        </w:rPr>
        <w:t xml:space="preserve"> 23, no. 2 (February 2015): 141–46, https://doi.org/10.1038/ejhg.2014.71.</w:t>
      </w:r>
      <w:r>
        <w:fldChar w:fldCharType="end"/>
      </w:r>
    </w:p>
    <w:p w14:paraId="0EF6A5CE" w14:textId="05C2861D" w:rsidR="004A2FC6" w:rsidRDefault="004A2FC6" w:rsidP="009508CF">
      <w:pPr>
        <w:pStyle w:val="EndnoteText"/>
      </w:pPr>
      <w:r>
        <w:rPr>
          <w:rStyle w:val="EndnoteReference"/>
        </w:rPr>
        <w:footnoteRef/>
      </w:r>
      <w:r w:rsidR="009508CF" w:rsidRPr="009508CF">
        <w:rPr>
          <w:vertAlign w:val="superscript"/>
        </w:rPr>
        <w:t>2</w:t>
      </w:r>
      <w:r>
        <w:t xml:space="preserve"> </w:t>
      </w:r>
      <w:r>
        <w:fldChar w:fldCharType="begin"/>
      </w:r>
      <w:r>
        <w:instrText xml:space="preserve"> ADDIN ZOTERO_ITEM CSL_CITATION {"citationID":"4i5lbtAZ","properties":{"formattedCitation":"Mark A. Rothstein et al., \\uc0\\u8220{}Unregulated Health Research Using Mobile Devices: Ethical Considerations and Policy Recommendations,\\uc0\\u8221{} {\\i{}Journal of Law, Medicine &amp; Ethics} 48, no. S1 (2020): 196\\uc0\\u8211{}226, https://doi.org/10.1177/1073110520917047.","plainCitation":"Mark A. Rothstein et al., “Unregulated Health Research Using Mobile Devices: Ethical Considerations and Policy Recommendations,” Journal of Law, Medicine &amp; Ethics 48, no. S1 (2020): 196–226, https://doi.org/10.1177/1073110520917047.","noteIndex":12},"citationItems":[{"id":726,"uris":["http://zotero.org/users/9247336/items/C5QERQMP"],"itemData":{"id":726,"type":"article-journal","abstract":"Mobile devices with health apps, direct-to-consumer genetic testing, crowd-sourced information, and other data sources have enabled research by new classes of researchers. Independent researchers, citizen scientists, patient-directed researchers, self-experimenters, and others are not covered by federal research regulations because they are not recipients of federal financial assistance or conducting research in anticipation of a submission to the FDA for approval of a new drug or medical device. This article addresses the difficult policy challenge of promoting the welfare and interests of research participants, as well as the public, in the absence of regulatory requirements and without discouraging independent, innovative scientific inquiry. The article recommends a series of measures, including education, consultation, transparency, self-governance, and regulation to strike the appropriate balance.","container-title":"Journal of Law, Medicine &amp; Ethics","DOI":"10.1177/1073110520917047","ISSN":"1073-1105, 1748-720X","issue":"S1","journalAbbreviation":"J. Law. Med. Ethics","language":"en","license":"https://www.cambridge.org/core/terms","page":"196-226","source":"DOI.org (Crossref)","title":"Unregulated Health Research Using Mobile Devices: Ethical Considerations and Policy Recommendations","title-short":"Unregulated Health Research Using Mobile Devices","volume":"48","author":[{"family":"Rothstein","given":"Mark A."},{"family":"Wilbanks","given":"John T."},{"family":"Beskow","given":"Laura M."},{"family":"Brelsford","given":"Kathleen M."},{"family":"Brothers","given":"Kyle B."},{"family":"Doerr","given":"Megan"},{"family":"Evans","given":"Barbara J."},{"family":"Hammack-Aviran","given":"Catherine M."},{"family":"McGowan","given":"Michelle L."},{"family":"Tovino","given":"Stacey A."}],"issued":{"date-parts":[["2020"]]}}}],"schema":"https://github.com/citation-style-language/schema/raw/master/csl-citation.json"} </w:instrText>
      </w:r>
      <w:r>
        <w:fldChar w:fldCharType="separate"/>
      </w:r>
      <w:r w:rsidRPr="00BE10B7">
        <w:rPr>
          <w:rFonts w:ascii="Aptos" w:cs="Times New Roman"/>
          <w:kern w:val="0"/>
        </w:rPr>
        <w:t xml:space="preserve">Mark A. Rothstein et al., “Unregulated Health Research Using Mobile Devices: Ethical Considerations and Policy Recommendations,” </w:t>
      </w:r>
      <w:r w:rsidRPr="00BE10B7">
        <w:rPr>
          <w:rFonts w:ascii="Aptos" w:cs="Times New Roman"/>
          <w:i/>
          <w:iCs/>
          <w:kern w:val="0"/>
        </w:rPr>
        <w:t>Journal of Law, Medicine &amp; Ethics</w:t>
      </w:r>
      <w:r w:rsidRPr="00BE10B7">
        <w:rPr>
          <w:rFonts w:ascii="Aptos" w:cs="Times New Roman"/>
          <w:kern w:val="0"/>
        </w:rPr>
        <w:t xml:space="preserve"> 48, no. S1 (2020): 196–226, https://doi.org/10.1177/1073110520917047.</w:t>
      </w:r>
      <w:r>
        <w:fldChar w:fldCharType="end"/>
      </w:r>
    </w:p>
    <w:p w14:paraId="27437B00" w14:textId="129FB452" w:rsidR="004A2FC6" w:rsidRDefault="004A2FC6" w:rsidP="009508CF">
      <w:pPr>
        <w:pStyle w:val="EndnoteText"/>
      </w:pPr>
      <w:r>
        <w:rPr>
          <w:rStyle w:val="EndnoteReference"/>
        </w:rPr>
        <w:footnoteRef/>
      </w:r>
      <w:r w:rsidR="009508CF" w:rsidRPr="009508CF">
        <w:rPr>
          <w:vertAlign w:val="superscript"/>
        </w:rPr>
        <w:t>3</w:t>
      </w:r>
      <w:r>
        <w:t xml:space="preserve"> </w:t>
      </w:r>
      <w:r>
        <w:fldChar w:fldCharType="begin"/>
      </w:r>
      <w:r>
        <w:instrText xml:space="preserve"> ADDIN ZOTERO_ITEM CSL_CITATION {"citationID":"Q84pbA4W","properties":{"formattedCitation":"Margaret Mitchell et al., \\uc0\\u8220{}Model Cards for Model Reporting,\\uc0\\u8221{} in {\\i{}Proceedings of the Conference on Fairness, Accountability, and Transparency} (FAT* \\uc0\\u8217{}19: Conference on Fairness, Accountability, and Transparency, Atlanta GA USA: ACM, 2019), 220\\uc0\\u8211{}29, https://doi.org/10.1145/3287560.3287596.","plainCitation":"Margaret Mitchell et al., “Model Cards for Model Reporting,” in Proceedings of the Conference on Fairness, Accountability, and Transparency (FAT* ’19: Conference on Fairness, Accountability, and Transparency, Atlanta GA USA: ACM, 2019), 220–29, https://doi.org/10.1145/3287560.3287596.","noteIndex":13},"citationItems":[{"id":909,"uris":["http://zotero.org/users/9247336/items/K7TIMZKI"],"itemData":{"id":909,"type":"paper-conference","container-title":"Proceedings of the Conference on Fairness, Accountability, and Transparency","DOI":"10.1145/3287560.3287596","event-place":"Atlanta GA USA","event-title":"FAT* '19: Conference on Fairness, Accountability, and Transparency","ISBN":"978-1-4503-6125-5","language":"en","page":"220-229","publisher":"ACM","publisher-place":"Atlanta GA USA","source":"DOI.org (Crossref)","title":"Model Cards for Model Reporting","URL":"https://dl.acm.org/doi/10.1145/3287560.3287596","author":[{"family":"Mitchell","given":"Margaret"},{"family":"Wu","given":"Simone"},{"family":"Zaldivar","given":"Andrew"},{"family":"Barnes","given":"Parker"},{"family":"Vasserman","given":"Lucy"},{"family":"Hutchinson","given":"Ben"},{"family":"Spitzer","given":"Elena"},{"family":"Raji","given":"Inioluwa Deborah"},{"family":"Gebru","given":"Timnit"}],"accessed":{"date-parts":[["2025",4,24]]},"issued":{"date-parts":[["2019",1,29]]}}}],"schema":"https://github.com/citation-style-language/schema/raw/master/csl-citation.json"} </w:instrText>
      </w:r>
      <w:r>
        <w:fldChar w:fldCharType="separate"/>
      </w:r>
      <w:r w:rsidRPr="00BE10B7">
        <w:rPr>
          <w:rFonts w:ascii="Aptos" w:cs="Times New Roman"/>
          <w:kern w:val="0"/>
        </w:rPr>
        <w:t xml:space="preserve">Margaret Mitchell et al., “Model Cards for Model Reporting,” in </w:t>
      </w:r>
      <w:r w:rsidRPr="00BE10B7">
        <w:rPr>
          <w:rFonts w:ascii="Aptos" w:cs="Times New Roman"/>
          <w:i/>
          <w:iCs/>
          <w:kern w:val="0"/>
        </w:rPr>
        <w:t>Proceedings of the Conference on Fairness, Accountability, and Transparency</w:t>
      </w:r>
      <w:r w:rsidRPr="00BE10B7">
        <w:rPr>
          <w:rFonts w:ascii="Aptos" w:cs="Times New Roman"/>
          <w:kern w:val="0"/>
        </w:rPr>
        <w:t xml:space="preserve"> (FAT* ’19: Conference on Fairness, Accountability, and Transparency, Atlanta GA USA: ACM, 2019), 220–29, https://doi.org/10.1145/3287560.3287596.</w:t>
      </w:r>
      <w:r>
        <w:fldChar w:fldCharType="end"/>
      </w:r>
    </w:p>
    <w:p w14:paraId="62D26B17" w14:textId="13D56098" w:rsidR="004A2FC6" w:rsidRDefault="004A2FC6" w:rsidP="009508CF">
      <w:pPr>
        <w:pStyle w:val="EndnoteText"/>
      </w:pPr>
      <w:r>
        <w:rPr>
          <w:rStyle w:val="EndnoteReference"/>
        </w:rPr>
        <w:footnoteRef/>
      </w:r>
      <w:r w:rsidR="009508CF" w:rsidRPr="009508CF">
        <w:rPr>
          <w:vertAlign w:val="superscript"/>
        </w:rPr>
        <w:t>4</w:t>
      </w:r>
      <w:r>
        <w:t xml:space="preserve"> </w:t>
      </w:r>
      <w:r>
        <w:fldChar w:fldCharType="begin"/>
      </w:r>
      <w:r>
        <w:instrText xml:space="preserve"> ADDIN ZOTERO_ITEM CSL_CITATION {"citationID":"p2Ux8zg9","properties":{"formattedCitation":"\\uc0\\u8220{}CHAI Model Cards,\\uc0\\u8221{} n.d., https://chai.org/what-are-applied-model-cards/.","plainCitation":"“CHAI Model Cards,” n.d., https://chai.org/what-are-applied-model-cards/.","noteIndex":14},"citationItems":[{"id":975,"uris":["http://zotero.org/users/9247336/items/ER3X587G"],"itemData":{"id":975,"type":"webpage","title":"CHAI Model Cards","URL":"https://chai.org/what-are-applied-model-cards/"}}],"schema":"https://github.com/citation-style-language/schema/raw/master/csl-citation.json"} </w:instrText>
      </w:r>
      <w:r>
        <w:fldChar w:fldCharType="separate"/>
      </w:r>
      <w:r w:rsidRPr="00BE10B7">
        <w:rPr>
          <w:rFonts w:ascii="Aptos" w:cs="Times New Roman"/>
          <w:kern w:val="0"/>
        </w:rPr>
        <w:t>“CHAI Model Cards,” n.d., https://chai.org/what-are-applied-model-cards/.</w:t>
      </w:r>
      <w:r>
        <w:fldChar w:fldCharType="end"/>
      </w:r>
    </w:p>
    <w:p w14:paraId="3D63451F" w14:textId="7BE76089" w:rsidR="004A2FC6" w:rsidRDefault="004A2FC6" w:rsidP="009508CF">
      <w:pPr>
        <w:pStyle w:val="EndnoteText"/>
      </w:pPr>
      <w:r>
        <w:rPr>
          <w:rStyle w:val="EndnoteReference"/>
        </w:rPr>
        <w:footnoteRef/>
      </w:r>
      <w:r w:rsidR="009508CF" w:rsidRPr="009508CF">
        <w:rPr>
          <w:vertAlign w:val="superscript"/>
        </w:rPr>
        <w:t>5</w:t>
      </w:r>
      <w:r>
        <w:t xml:space="preserve"> </w:t>
      </w:r>
      <w:r>
        <w:fldChar w:fldCharType="begin"/>
      </w:r>
      <w:r>
        <w:instrText xml:space="preserve"> ADDIN ZOTERO_ITEM CSL_CITATION {"citationID":"26GOHlrh","properties":{"formattedCitation":"{\\i{}MIA: David Sontag, Fredrik Johansson, AI for Health Needs Causality}, 2018, https://www.youtube.com/watch?v=MBz9hVFYDl8.","plainCitation":"MIA: David Sontag, Fredrik Johansson, AI for Health Needs Causality, 2018, https://www.youtube.com/watch?v=MBz9hVFYDl8.","noteIndex":15},"citationItems":[{"id":68,"uris":["http://zotero.org/users/9247336/items/2Z88EB3C"],"itemData":{"id":68,"type":"motion_picture","abstract":"February 14, 2018 \n\nMIA Meeting:    • MIA: David Sontag, Fredrik Johansson,...  \nDavid Sontag\nMIT EECS, IMES, CSAIL\n\nAI for health needs causality\n\nAbstract:  Recent success stories of using machine learning for diagnosing skin cancer, diabetic retinopathy, pneumonia, and breast cancer may give the impression that artificial intelligence (AI) is on the cusp of radically changing all aspects of health care. However, many of the most important problems, such as predicting disease progression, personalizing treatment to the individual, drug discovery, and finding optimal treatment policies, all require a fundamentally different way of thinking. Specifically, these problems require a focus on causality rather than simply prediction. Motivated by these challenges, my lab has been developing several new approaches for causal inference from observational data. In this talk, I describe our recent work on the deep Markov model (Krishnan, Shalit, Sontag AAAI '17) and TARNet (Shalit, Johansson, Sontag, ICML '17).\n\n\nFredrik Johansson\nMIT IMES\n\nPrimer on causal inference\n\nAbstract:  A common goal in science is to use knowledge gained by observing a phenomenon of interest to guide decision and policy making. If smokers are observed to have higher rates of lung cancer, should we legislate to discourage smoking? Such a policy will only be effective if smoking itself is the cause of cancer and the correlation between cancer rate and smoking is not explained by other factors, such as lifestyle choices. Problems like these are well described in the language of causal inference. In this primer, we explain the difference between statistical and causal reasoning, and introduce the notions of confounding, causal graphs and counterfactuals. We cover the problem of estimating causal effects from experimental and observational data, as well as sufficient assumptions to make causal statements based on statistical quantities.\n\nFor more information on the Broad Institute and MIA visit: http://www.broadinstitute.org/MIA\n\nCopyright Broad Institute, 2018. All rights reserved.","source":"YouTube","title":"MIA: David Sontag, Fredrik Johansson, AI for health needs causality","title-short":"MIA","URL":"https://www.youtube.com/watch?v=MBz9hVFYDl8","director":[{"literal":"Broad Institute"}],"accessed":{"date-parts":[["2024",10,18]]},"issued":{"date-parts":[["2018",2,27]]}}}],"schema":"https://github.com/citation-style-language/schema/raw/master/csl-citation.json"} </w:instrText>
      </w:r>
      <w:r>
        <w:fldChar w:fldCharType="separate"/>
      </w:r>
      <w:r w:rsidRPr="00BE10B7">
        <w:rPr>
          <w:rFonts w:ascii="Aptos" w:cs="Times New Roman"/>
          <w:i/>
          <w:iCs/>
          <w:kern w:val="0"/>
        </w:rPr>
        <w:t>MIA: David Sontag, Fredrik Johansson, AI for Health Needs Causality</w:t>
      </w:r>
      <w:r w:rsidRPr="00BE10B7">
        <w:rPr>
          <w:rFonts w:ascii="Aptos" w:cs="Times New Roman"/>
          <w:kern w:val="0"/>
        </w:rPr>
        <w:t>, 2018, https://www.youtube.com/watch?v=MBz9hVFYDl8.</w:t>
      </w:r>
      <w:r>
        <w:fldChar w:fldCharType="end"/>
      </w:r>
    </w:p>
    <w:p w14:paraId="245F8217" w14:textId="766F663F" w:rsidR="004A2FC6" w:rsidRDefault="004A2FC6" w:rsidP="009508CF">
      <w:pPr>
        <w:pStyle w:val="EndnoteText"/>
      </w:pPr>
      <w:r>
        <w:rPr>
          <w:rStyle w:val="EndnoteReference"/>
        </w:rPr>
        <w:footnoteRef/>
      </w:r>
      <w:r w:rsidR="009508CF" w:rsidRPr="009508CF">
        <w:rPr>
          <w:vertAlign w:val="superscript"/>
        </w:rPr>
        <w:t>6</w:t>
      </w:r>
      <w:r>
        <w:t xml:space="preserve"> </w:t>
      </w:r>
      <w:r>
        <w:fldChar w:fldCharType="begin"/>
      </w:r>
      <w:r>
        <w:instrText xml:space="preserve"> ADDIN ZOTERO_ITEM CSL_CITATION {"citationID":"wJhjYAgM","properties":{"formattedCitation":"\\uc0\\u8220{}Https://Www.Pywhy.Org/,\\uc0\\u8221{} PyWhy, n.d.","plainCitation":"“Https://Www.Pywhy.Org/,” PyWhy, n.d.","noteIndex":16},"citationItems":[{"id":911,"uris":["http://zotero.org/users/9247336/items/D76Y8384"],"itemData":{"id":911,"type":"webpage","container-title":"PyWhy","title":"https://www.pywhy.org/"}}],"schema":"https://github.com/citation-style-language/schema/raw/master/csl-citation.json"} </w:instrText>
      </w:r>
      <w:r>
        <w:fldChar w:fldCharType="separate"/>
      </w:r>
      <w:r w:rsidRPr="00BE10B7">
        <w:rPr>
          <w:rFonts w:ascii="Aptos" w:cs="Times New Roman"/>
          <w:kern w:val="0"/>
        </w:rPr>
        <w:t xml:space="preserve">“Https://Www.Pywhy.Org/,” </w:t>
      </w:r>
      <w:proofErr w:type="spellStart"/>
      <w:r w:rsidRPr="00BE10B7">
        <w:rPr>
          <w:rFonts w:ascii="Aptos" w:cs="Times New Roman"/>
          <w:kern w:val="0"/>
        </w:rPr>
        <w:t>PyWhy</w:t>
      </w:r>
      <w:proofErr w:type="spellEnd"/>
      <w:r w:rsidRPr="00BE10B7">
        <w:rPr>
          <w:rFonts w:ascii="Aptos" w:cs="Times New Roman"/>
          <w:kern w:val="0"/>
        </w:rPr>
        <w:t>, n.d.</w:t>
      </w:r>
      <w:r>
        <w:fldChar w:fldCharType="end"/>
      </w:r>
    </w:p>
    <w:p w14:paraId="7F0E7F4C" w14:textId="2AB2701B" w:rsidR="004A2FC6" w:rsidRDefault="004A2FC6" w:rsidP="009508CF">
      <w:pPr>
        <w:pStyle w:val="EndnoteText"/>
      </w:pPr>
      <w:r>
        <w:rPr>
          <w:rStyle w:val="EndnoteReference"/>
        </w:rPr>
        <w:footnoteRef/>
      </w:r>
      <w:r w:rsidR="009508CF" w:rsidRPr="009508CF">
        <w:rPr>
          <w:vertAlign w:val="superscript"/>
        </w:rPr>
        <w:t>7</w:t>
      </w:r>
      <w:r>
        <w:t xml:space="preserve"> </w:t>
      </w:r>
      <w:r>
        <w:fldChar w:fldCharType="begin"/>
      </w:r>
      <w:r>
        <w:instrText xml:space="preserve"> ADDIN ZOTERO_ITEM CSL_CITATION {"citationID":"BxF8jsHX","properties":{"formattedCitation":"Laura M. Beskow and Kevin P. Weinfurt, \\uc0\\u8220{}Exploring Understanding of \\uc0\\u8216{}Understanding\\uc0\\u8217{}: The Paradigm Case of Biobank Consent Comprehension,\\uc0\\u8221{} {\\i{}The American Journal of Bioethics} 19, no. 5 (May 4, 2019): 6\\uc0\\u8211{}18, https://doi.org/10.1080/15265161.2019.1587031.","plainCitation":"Laura M. Beskow and Kevin P. Weinfurt, “Exploring Understanding of ‘Understanding’: The Paradigm Case of Biobank Consent Comprehension,” The American Journal of Bioethics 19, no. 5 (May 4, 2019): 6–18, https://doi.org/10.1080/15265161.2019.1587031.","noteIndex":17},"citationItems":[{"id":892,"uris":["http://zotero.org/users/9247336/items/2D2JXCH6"],"itemData":{"id":892,"type":"article-journal","abstract":"Data documenting poor understanding among research participants and real-time efforts to assess comprehension in large-scale studies are focusing new attention on informed consent comprehension. Within the context of biobanking consent, we previously convened a multidisciplinary panel to reach consensus about what information must be understood for a prospective participant’s consent to be considered valid. Subsequently, we presented them with data from another study showing that many U.S. adults would fail to comprehend the information the panel had deemed essential. When asked to evaluate the importance of the information again, panelists’ opinions shifted dramatically in the direction of requiring that less information be understood. Follow-up interviews indicated significant uncertainty about defining a threshold of understanding and what should happen when prospective participants are unable to grasp key information. These findings have important implications for urgently needed discussion of whether consent comprehension is an ethical requirement or an ethical aspiration.","container-title":"The American Journal of Bioethics","DOI":"10.1080/15265161.2019.1587031","ISSN":"1526-5161, 1536-0075","issue":"5","journalAbbreviation":"The American Journal of Bioethics","language":"en","page":"6-18","source":"DOI.org (Crossref)","title":"Exploring Understanding of “Understanding”: The Paradigm Case of Biobank Consent Comprehension","title-short":"Exploring Understanding of “Understanding”","volume":"19","author":[{"family":"Beskow","given":"Laura M."},{"family":"Weinfurt","given":"Kevin P."}],"issued":{"date-parts":[["2019",5,4]]}}}],"schema":"https://github.com/citation-style-language/schema/raw/master/csl-citation.json"} </w:instrText>
      </w:r>
      <w:r>
        <w:fldChar w:fldCharType="separate"/>
      </w:r>
      <w:r w:rsidRPr="00BE10B7">
        <w:rPr>
          <w:rFonts w:ascii="Aptos" w:cs="Times New Roman"/>
          <w:kern w:val="0"/>
        </w:rPr>
        <w:t xml:space="preserve">Laura M. Beskow and Kevin P. Weinfurt, “Exploring Understanding of ‘Understanding’: The Paradigm Case of Biobank Consent Comprehension,” </w:t>
      </w:r>
      <w:r w:rsidRPr="00BE10B7">
        <w:rPr>
          <w:rFonts w:ascii="Aptos" w:cs="Times New Roman"/>
          <w:i/>
          <w:iCs/>
          <w:kern w:val="0"/>
        </w:rPr>
        <w:t>The American Journal of Bioethics</w:t>
      </w:r>
      <w:r w:rsidRPr="00BE10B7">
        <w:rPr>
          <w:rFonts w:ascii="Aptos" w:cs="Times New Roman"/>
          <w:kern w:val="0"/>
        </w:rPr>
        <w:t xml:space="preserve"> 19, no. 5 (May 4, 2019): 6–18, https://doi.org/10.1080/15265161.2019.1587031.</w:t>
      </w:r>
      <w:r>
        <w:fldChar w:fldCharType="end"/>
      </w:r>
    </w:p>
    <w:p w14:paraId="6A3689BB" w14:textId="1A8380F8" w:rsidR="004A2FC6" w:rsidRDefault="004A2FC6" w:rsidP="009508CF">
      <w:pPr>
        <w:pStyle w:val="EndnoteText"/>
      </w:pPr>
      <w:r>
        <w:rPr>
          <w:rStyle w:val="EndnoteReference"/>
        </w:rPr>
        <w:footnoteRef/>
      </w:r>
      <w:r w:rsidR="009508CF" w:rsidRPr="009508CF">
        <w:rPr>
          <w:vertAlign w:val="superscript"/>
        </w:rPr>
        <w:t>8</w:t>
      </w:r>
      <w:r>
        <w:t xml:space="preserve"> </w:t>
      </w:r>
      <w:r>
        <w:fldChar w:fldCharType="begin"/>
      </w:r>
      <w:r>
        <w:instrText xml:space="preserve"> ADDIN ZOTERO_ITEM CSL_CITATION {"citationID":"aJqw5y3D","properties":{"formattedCitation":"Jing Ma, \\uc0\\u8220{}Causal Inference with Large Language Model: A Survey\\uc0\\u8221{} (arXiv, October 16, 2024), http://arxiv.org/abs/2409.09822.","plainCitation":"Jing Ma, “Causal Inference with Large Language Model: A Survey” (arXiv, October 16, 2024), http://arxiv.org/abs/2409.09822.","noteIndex":18},"citationItems":[{"id":45,"uris":["http://zotero.org/users/9247336/items/KE47YTJU"],"itemData":{"id":45,"type":"article","abstract":"Causal inference has been a pivotal challenge across diverse domains such as medicine and economics, demanding a complicated integration of human knowledge, mathematical reasoning, and data mining capabilities. Recent advancements in natural language processing (NLP), particularly with the advent of large language models (LLMs), have introduced promising opportunities for traditional causal inference tasks. This paper reviews recent progress in applying LLMs to causal inference, encompassing various tasks spanning different levels of causation. We summarize the main causal problems and approaches, and present a comparison of their evaluation results in different causal scenarios. Furthermore, we discuss key findings and outline directions for future research, underscoring the potential implications of integrating LLMs in advancing causal inference methodologies.","note":"arXiv:2409.09822 [cs]","number":"arXiv:2409.09822","publisher":"arXiv","source":"arXiv.org","title":"Causal Inference with Large Language Model: A Survey","title-short":"Causal Inference with Large Language Model","URL":"http://arxiv.org/abs/2409.09822","author":[{"family":"Ma","given":"Jing"}],"accessed":{"date-parts":[["2024",10,17]]},"issued":{"date-parts":[["2024",10,16]]}}}],"schema":"https://github.com/citation-style-language/schema/raw/master/csl-citation.json"} </w:instrText>
      </w:r>
      <w:r>
        <w:fldChar w:fldCharType="separate"/>
      </w:r>
      <w:r w:rsidRPr="00BE10B7">
        <w:rPr>
          <w:rFonts w:ascii="Aptos" w:cs="Times New Roman"/>
          <w:kern w:val="0"/>
        </w:rPr>
        <w:t>Jing Ma, “Causal Inference with Large Language Model: A Survey” (</w:t>
      </w:r>
      <w:proofErr w:type="spellStart"/>
      <w:r w:rsidRPr="00BE10B7">
        <w:rPr>
          <w:rFonts w:ascii="Aptos" w:cs="Times New Roman"/>
          <w:kern w:val="0"/>
        </w:rPr>
        <w:t>arXiv</w:t>
      </w:r>
      <w:proofErr w:type="spellEnd"/>
      <w:r w:rsidRPr="00BE10B7">
        <w:rPr>
          <w:rFonts w:ascii="Aptos" w:cs="Times New Roman"/>
          <w:kern w:val="0"/>
        </w:rPr>
        <w:t>, October 16, 2024), http://arxiv.org/abs/2409.09822.</w:t>
      </w:r>
      <w:r>
        <w:fldChar w:fldCharType="end"/>
      </w:r>
    </w:p>
    <w:p w14:paraId="494EC631" w14:textId="77777777" w:rsidR="004A2FC6" w:rsidRDefault="004A2FC6" w:rsidP="004A2FC6">
      <w:pPr>
        <w:pStyle w:val="EndnoteText"/>
      </w:pPr>
    </w:p>
    <w:p w14:paraId="6E1617EB" w14:textId="77777777" w:rsidR="004A2FC6" w:rsidRDefault="004A2FC6" w:rsidP="004A2FC6">
      <w:pPr>
        <w:pStyle w:val="EndnoteText"/>
      </w:pPr>
    </w:p>
    <w:p w14:paraId="0EB314AD" w14:textId="77777777" w:rsidR="004A2FC6" w:rsidRDefault="004A2FC6" w:rsidP="004A2FC6">
      <w:pPr>
        <w:pStyle w:val="EndnoteText"/>
      </w:pPr>
    </w:p>
    <w:p w14:paraId="072CE6BA" w14:textId="77777777" w:rsidR="004A2FC6" w:rsidRDefault="004A2FC6" w:rsidP="004A2FC6">
      <w:pPr>
        <w:pStyle w:val="EndnoteText"/>
      </w:pPr>
    </w:p>
    <w:p w14:paraId="609C11AF" w14:textId="77777777" w:rsidR="00C702B3" w:rsidRDefault="00C702B3"/>
    <w:sectPr w:rsidR="00C70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62B67"/>
    <w:multiLevelType w:val="hybridMultilevel"/>
    <w:tmpl w:val="B34C0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305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C6"/>
    <w:rsid w:val="00023037"/>
    <w:rsid w:val="003761D9"/>
    <w:rsid w:val="0041184D"/>
    <w:rsid w:val="004A2FC6"/>
    <w:rsid w:val="006F462C"/>
    <w:rsid w:val="00713FC8"/>
    <w:rsid w:val="00934E6B"/>
    <w:rsid w:val="009508CF"/>
    <w:rsid w:val="00C702B3"/>
    <w:rsid w:val="00EA14F7"/>
    <w:rsid w:val="00EA5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5250D2"/>
  <w15:chartTrackingRefBased/>
  <w15:docId w15:val="{7B593679-2C27-334F-8A03-9BF56BD7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C6"/>
    <w:rPr>
      <w:rFonts w:eastAsiaTheme="majorEastAsia" w:cstheme="majorBidi"/>
      <w:color w:val="272727" w:themeColor="text1" w:themeTint="D8"/>
    </w:rPr>
  </w:style>
  <w:style w:type="paragraph" w:styleId="Title">
    <w:name w:val="Title"/>
    <w:basedOn w:val="Normal"/>
    <w:next w:val="Normal"/>
    <w:link w:val="TitleChar"/>
    <w:uiPriority w:val="10"/>
    <w:qFormat/>
    <w:rsid w:val="004A2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C6"/>
    <w:pPr>
      <w:spacing w:before="160"/>
      <w:jc w:val="center"/>
    </w:pPr>
    <w:rPr>
      <w:i/>
      <w:iCs/>
      <w:color w:val="404040" w:themeColor="text1" w:themeTint="BF"/>
    </w:rPr>
  </w:style>
  <w:style w:type="character" w:customStyle="1" w:styleId="QuoteChar">
    <w:name w:val="Quote Char"/>
    <w:basedOn w:val="DefaultParagraphFont"/>
    <w:link w:val="Quote"/>
    <w:uiPriority w:val="29"/>
    <w:rsid w:val="004A2FC6"/>
    <w:rPr>
      <w:i/>
      <w:iCs/>
      <w:color w:val="404040" w:themeColor="text1" w:themeTint="BF"/>
    </w:rPr>
  </w:style>
  <w:style w:type="paragraph" w:styleId="ListParagraph">
    <w:name w:val="List Paragraph"/>
    <w:basedOn w:val="Normal"/>
    <w:uiPriority w:val="34"/>
    <w:qFormat/>
    <w:rsid w:val="004A2FC6"/>
    <w:pPr>
      <w:ind w:left="720"/>
      <w:contextualSpacing/>
    </w:pPr>
  </w:style>
  <w:style w:type="character" w:styleId="IntenseEmphasis">
    <w:name w:val="Intense Emphasis"/>
    <w:basedOn w:val="DefaultParagraphFont"/>
    <w:uiPriority w:val="21"/>
    <w:qFormat/>
    <w:rsid w:val="004A2FC6"/>
    <w:rPr>
      <w:i/>
      <w:iCs/>
      <w:color w:val="0F4761" w:themeColor="accent1" w:themeShade="BF"/>
    </w:rPr>
  </w:style>
  <w:style w:type="paragraph" w:styleId="IntenseQuote">
    <w:name w:val="Intense Quote"/>
    <w:basedOn w:val="Normal"/>
    <w:next w:val="Normal"/>
    <w:link w:val="IntenseQuoteChar"/>
    <w:uiPriority w:val="30"/>
    <w:qFormat/>
    <w:rsid w:val="004A2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C6"/>
    <w:rPr>
      <w:i/>
      <w:iCs/>
      <w:color w:val="0F4761" w:themeColor="accent1" w:themeShade="BF"/>
    </w:rPr>
  </w:style>
  <w:style w:type="character" w:styleId="IntenseReference">
    <w:name w:val="Intense Reference"/>
    <w:basedOn w:val="DefaultParagraphFont"/>
    <w:uiPriority w:val="32"/>
    <w:qFormat/>
    <w:rsid w:val="004A2FC6"/>
    <w:rPr>
      <w:b/>
      <w:bCs/>
      <w:smallCaps/>
      <w:color w:val="0F4761" w:themeColor="accent1" w:themeShade="BF"/>
      <w:spacing w:val="5"/>
    </w:rPr>
  </w:style>
  <w:style w:type="paragraph" w:styleId="EndnoteText">
    <w:name w:val="endnote text"/>
    <w:basedOn w:val="Normal"/>
    <w:link w:val="EndnoteTextChar"/>
    <w:uiPriority w:val="99"/>
    <w:semiHidden/>
    <w:unhideWhenUsed/>
    <w:rsid w:val="004A2FC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A2FC6"/>
    <w:rPr>
      <w:sz w:val="20"/>
      <w:szCs w:val="20"/>
    </w:rPr>
  </w:style>
  <w:style w:type="character" w:styleId="EndnoteReference">
    <w:name w:val="endnote reference"/>
    <w:basedOn w:val="DefaultParagraphFont"/>
    <w:uiPriority w:val="99"/>
    <w:semiHidden/>
    <w:unhideWhenUsed/>
    <w:rsid w:val="004A2FC6"/>
    <w:rPr>
      <w:vertAlign w:val="superscript"/>
    </w:rPr>
  </w:style>
  <w:style w:type="paragraph" w:customStyle="1" w:styleId="whitespace-pre-wrap">
    <w:name w:val="whitespace-pre-wrap"/>
    <w:basedOn w:val="Normal"/>
    <w:rsid w:val="009508C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5052</Words>
  <Characters>33193</Characters>
  <Application>Microsoft Office Word</Application>
  <DocSecurity>0</DocSecurity>
  <Lines>461</Lines>
  <Paragraphs>72</Paragraphs>
  <ScaleCrop>false</ScaleCrop>
  <Company/>
  <LinksUpToDate>false</LinksUpToDate>
  <CharactersWithSpaces>38173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Taposh Dutta-Roy</dc:creator>
  <cp:keywords/>
  <dc:description/>
  <cp:lastModifiedBy>Taposh Dutta-Roy</cp:lastModifiedBy>
  <cp:revision>2</cp:revision>
  <dcterms:created xsi:type="dcterms:W3CDTF">2025-05-07T21:02:00Z</dcterms:created>
  <dcterms:modified xsi:type="dcterms:W3CDTF">2025-05-07T22:47:00Z</dcterms:modified>
</cp:coreProperties>
</file>