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游ゴシック" w:hAnsi="游ゴシック" w:eastAsia="游ゴシック"/>
          <w:b/>
          <w:color w:val="1A5FB4"/>
          <w:sz w:val="22"/>
        </w:rPr>
        <w:t>あっぷる総研  ACRI  Research Paper ③</w:t>
      </w:r>
    </w:p>
    <w:p>
      <w:pPr>
        <w:spacing w:after="80" w:before="0" w:line="300" w:lineRule="auto"/>
      </w:pPr>
    </w:p>
    <w:p>
      <w:pPr>
        <w:jc w:val="center"/>
      </w:pPr>
      <w:r>
        <w:rPr>
          <w:rFonts w:ascii="游ゴシック" w:hAnsi="游ゴシック" w:eastAsia="游ゴシック"/>
          <w:b/>
          <w:color w:val="0D3066"/>
          <w:sz w:val="44"/>
        </w:rPr>
        <w:t>立地適正化計画は「残る場所」を当てているか</w:t>
      </w:r>
    </w:p>
    <w:p>
      <w:pPr>
        <w:jc w:val="center"/>
      </w:pPr>
      <w:r>
        <w:rPr>
          <w:rFonts w:ascii="游ゴシック" w:hAnsi="游ゴシック" w:eastAsia="游ゴシック"/>
          <w:color w:val="666666"/>
          <w:sz w:val="26"/>
        </w:rPr>
        <w:t>― 居住誘導区域 × メッシュ残存力スコアの実証監査 ―</w:t>
      </w:r>
    </w:p>
    <w:p/>
    <w:p/>
    <w:p>
      <w:pPr>
        <w:jc w:val="center"/>
      </w:pPr>
      <w:r>
        <w:rPr>
          <w:rFonts w:ascii="游明朝" w:hAnsi="游明朝" w:eastAsia="游明朝"/>
          <w:i/>
          <w:color w:val="1A5FB4"/>
          <w:sz w:val="22"/>
        </w:rPr>
        <w:t>立適は「残る場所」を当てている。ただし線引きがある場所だけだ。</w:t>
        <w:br/>
        <w:t>政策の線引きの空白を埋めるのは、大家自身が持つ「メッシュ残存力」という第6軸である。</w:t>
      </w:r>
    </w:p>
    <w:p/>
    <w:p/>
    <w:p/>
    <w:p/>
    <w:p>
      <w:pPr>
        <w:jc w:val="center"/>
      </w:pPr>
      <w:r>
        <w:rPr>
          <w:rFonts w:ascii="游明朝" w:hAnsi="游明朝" w:eastAsia="游明朝"/>
          <w:color w:val="666666"/>
          <w:sz w:val="22"/>
        </w:rPr>
        <w:t>あっぷるキャピタルグループ／あっぷる総研（ACRI）</w:t>
      </w:r>
    </w:p>
    <w:p>
      <w:pPr>
        <w:jc w:val="center"/>
      </w:pPr>
      <w:r>
        <w:rPr>
          <w:rFonts w:ascii="游明朝" w:hAnsi="游明朝" w:eastAsia="游明朝"/>
          <w:color w:val="666666"/>
          <w:sz w:val="20"/>
        </w:rPr>
        <w:t>主任研究員　川上 美咲　／　オーケストレーション　桐島 渉（IT推進部）</w:t>
      </w:r>
    </w:p>
    <w:p>
      <w:pPr>
        <w:jc w:val="center"/>
      </w:pPr>
      <w:r>
        <w:rPr>
          <w:rFonts w:ascii="游明朝" w:hAnsi="游明朝" w:eastAsia="游明朝"/>
          <w:color w:val="666666"/>
          <w:sz w:val="20"/>
        </w:rPr>
        <w:t>2026年6月22日　PJ00-06 / ACRI③（夕張研究 ACRI②の継続）</w:t>
      </w:r>
    </w:p>
    <w:p>
      <w:r>
        <w:br w:type="page"/>
      </w:r>
    </w:p>
    <w:p>
      <w:pPr>
        <w:spacing w:before="280" w:after="120"/>
        <w:pBdr>
          <w:bottom w:val="single" w:sz="6" w:space="4" w:color="1A5FB4"/>
        </w:pBdr>
      </w:pPr>
      <w:r>
        <w:rPr>
          <w:rFonts w:ascii="游ゴシック" w:hAnsi="游ゴシック" w:eastAsia="游ゴシック"/>
          <w:b/>
          <w:color w:val="1A5FB4"/>
          <w:sz w:val="28"/>
        </w:rPr>
        <w:t>要旨（Abstract）</w:t>
      </w:r>
    </w:p>
    <w:p>
      <w:pPr>
        <w:spacing w:after="120" w:before="0" w:line="300" w:lineRule="auto"/>
      </w:pPr>
      <w:r>
        <w:rPr>
          <w:rFonts w:ascii="游明朝" w:hAnsi="游明朝" w:eastAsia="游明朝"/>
          <w:b w:val="0"/>
          <w:i w:val="0"/>
          <w:color w:val="222222"/>
          <w:sz w:val="21"/>
        </w:rPr>
        <w:t>本研究（ACRI③）は、夕張（ACRI②、managed shrinkage の優等生事例）を ground-truth とし、東北6県の立地適正化計画（立適）が指定する「居住誘導区域」という政策の線引きが、当社の1kmメッシュ残存力スコア（特S/A/B/C）というデータの線引きとどこまで一致しているかを、点-多角形判定（ray-casting）と当社9物件の物件→メッシュ接合の二系統で実証監査した。</w:t>
      </w:r>
    </w:p>
    <w:p>
      <w:pPr>
        <w:spacing w:after="120" w:before="0" w:line="300" w:lineRule="auto"/>
      </w:pPr>
      <w:r>
        <w:rPr>
          <w:rFonts w:ascii="游明朝" w:hAnsi="游明朝" w:eastAsia="游明朝"/>
          <w:b w:val="0"/>
          <w:i w:val="0"/>
          <w:color w:val="222222"/>
          <w:sz w:val="21"/>
        </w:rPr>
        <w:t>結論は限定つきで「概ね一致する」。国土数値情報A50（2020年度版）から居住誘導区域ポリゴンを取得できた立適6市（青森・弘前・十和田・花巻・郡山・仙台）すべてで『区域内の平均score ＞ 区域外の平均score』が成立し（差 +8.8〜+16.2点）、うち5市で区域内にCランク（最低）メッシュがゼロであった。立適は当社データが高ランクと判定した“残る場所”をよく当てている。一方で当社9物件のクロス監査は、政策とデータが乖離する2類型を物件名つきで可視化した：⑪花巻プリムローズ（居住誘導区域外 × A59.0＝「底堅」＝区域線引きの取りこぼし示唆）と、⑧宮城アーバンプレステージ（村田町＝立適なし × C43.3＝「撤退適地」として整合）である。区域内 × 低ランクCの「隠れリスク」は本9物件には不在だった。</w:t>
      </w:r>
    </w:p>
    <w:p>
      <w:pPr>
        <w:spacing w:after="120" w:before="0" w:line="300" w:lineRule="auto"/>
      </w:pPr>
      <w:r>
        <w:rPr>
          <w:rFonts w:ascii="游明朝" w:hAnsi="游明朝" w:eastAsia="游明朝"/>
          <w:b w:val="0"/>
          <w:i w:val="0"/>
          <w:color w:val="222222"/>
          <w:sz w:val="21"/>
        </w:rPr>
        <w:t>本稿はこの監査を、当社MVV策定の評価哲学（人口増減でなく“残るか”を見る7カテゴリ×100点の残存力分解）と構造的に接続し、縮小都市における賃貸取得基準の第6軸＝メッシュ残存力ランク／雇用核徒歩圏を提示する。本稿は投資助言ではなく、当社内部の研究記録である。</w:t>
      </w:r>
    </w:p>
    <w:p>
      <w:pPr>
        <w:spacing w:after="120" w:before="0" w:line="300" w:lineRule="auto"/>
      </w:pPr>
      <w:r>
        <w:rPr>
          <w:rFonts w:ascii="游明朝" w:hAnsi="游明朝" w:eastAsia="游明朝"/>
          <w:b w:val="0"/>
          <w:i/>
          <w:color w:val="666666"/>
          <w:sz w:val="19"/>
        </w:rPr>
        <w:t>キーワード：立地適正化計画／居住誘導区域／メッシュ残存力スコア／縮小都市／スマートシュリンク／点-多角形判定／地方賃貸経営</w:t>
      </w:r>
    </w:p>
    <w:p>
      <w:pPr>
        <w:spacing w:before="280" w:after="120"/>
        <w:pBdr>
          <w:bottom w:val="single" w:sz="6" w:space="4" w:color="1A5FB4"/>
        </w:pBdr>
      </w:pPr>
      <w:r>
        <w:rPr>
          <w:rFonts w:ascii="游ゴシック" w:hAnsi="游ゴシック" w:eastAsia="游ゴシック"/>
          <w:b/>
          <w:color w:val="1A5FB4"/>
          <w:sz w:val="28"/>
        </w:rPr>
        <w:t>第1章　問題設定 ― 政策の線引きとデータの線引き</w:t>
      </w:r>
    </w:p>
    <w:p>
      <w:pPr>
        <w:spacing w:after="120" w:before="0" w:line="300" w:lineRule="auto"/>
      </w:pPr>
      <w:r>
        <w:rPr>
          <w:rFonts w:ascii="游明朝" w:hAnsi="游明朝" w:eastAsia="游明朝"/>
          <w:b w:val="0"/>
          <w:i w:val="0"/>
          <w:color w:val="222222"/>
          <w:sz w:val="21"/>
        </w:rPr>
        <w:t>夕張研究（ACRI②）の核心は「立地適正化計画は未来の地価マップである」だった。行政が引いた居住誘導区域の内か外かが、20年後の地価・賃貸需給・融資評価・出口流動性を二分する。だが、ここで素朴な問いが生まれる——『その行政の線引きは、本当に“残る場所”を正しく当てているのか？』</w:t>
      </w:r>
    </w:p>
    <w:p>
      <w:pPr>
        <w:spacing w:after="120" w:before="0" w:line="300" w:lineRule="auto"/>
      </w:pPr>
      <w:r>
        <w:rPr>
          <w:rFonts w:ascii="游明朝" w:hAnsi="游明朝" w:eastAsia="游明朝"/>
          <w:b w:val="0"/>
          <w:i w:val="0"/>
          <w:color w:val="222222"/>
          <w:sz w:val="21"/>
        </w:rPr>
        <w:t>本研究はこの問いを定量的に検証する。当社が独自に構築した「東北6県居住メッシュ格付けアトラス」（28,207の1kmメッシュを特S/A/B/Cで格付け）を“データの線引き”として用い、立適計画の居住誘導区域という“政策の線引き”と重ね合わせる。夕張・清水沢集約は、政策とデータが設計段階から高整合で引かれた『100点の答案』＝ground-truthとして機能する。</w:t>
      </w:r>
    </w:p>
    <w:p>
      <w:pPr>
        <w:spacing w:after="120" w:before="0" w:line="300" w:lineRule="auto"/>
      </w:pPr>
      <w:r>
        <w:rPr>
          <w:rFonts w:ascii="游明朝" w:hAnsi="游明朝" w:eastAsia="游明朝"/>
          <w:b w:val="0"/>
          <w:i w:val="0"/>
          <w:color w:val="222222"/>
          <w:sz w:val="21"/>
        </w:rPr>
        <w:t>RQ：居住誘導区域（政策）はメッシュ残存力ランク（データ）と一致しているか。一致する都市・乖離する都市はどこか。乖離はどの方向か。そして当社ポートフォリオに、区域内なのに低ランク（隠れリスク）、区域外なのに高ランク（底堅）の物件は存在するか。</w:t>
      </w:r>
    </w:p>
    <w:p>
      <w:pPr>
        <w:spacing w:before="280" w:after="120"/>
        <w:pBdr>
          <w:bottom w:val="single" w:sz="6" w:space="4" w:color="1A5FB4"/>
        </w:pBdr>
      </w:pPr>
      <w:r>
        <w:rPr>
          <w:rFonts w:ascii="游ゴシック" w:hAnsi="游ゴシック" w:eastAsia="游ゴシック"/>
          <w:b/>
          <w:color w:val="1A5FB4"/>
          <w:sz w:val="28"/>
        </w:rPr>
        <w:t>第2章　データと方法</w:t>
      </w:r>
    </w:p>
    <w:p>
      <w:pPr>
        <w:pStyle w:val="ListBullet"/>
        <w:spacing w:after="40" w:line="288" w:lineRule="auto"/>
      </w:pPr>
      <w:r>
        <w:rPr>
          <w:rFonts w:ascii="游明朝" w:hAnsi="游明朝" w:eastAsia="游明朝"/>
          <w:color w:val="222222"/>
          <w:sz w:val="21"/>
        </w:rPr>
        <w:t>データの線引き：東北6県居住メッシュ格付けアトラス（28,207メッシュ／特S647・A2,797・B7,237・C17,526）。3層合成＝市町村体力A40%＋立地B45%＋産業定性C15%。各メッシュに重心緯度経度・スコア・ランク・ハザードフラグを保有。</w:t>
      </w:r>
    </w:p>
    <w:p>
      <w:pPr>
        <w:pStyle w:val="ListBullet"/>
        <w:spacing w:after="40" w:line="288" w:lineRule="auto"/>
      </w:pPr>
      <w:r>
        <w:rPr>
          <w:rFonts w:ascii="游明朝" w:hAnsi="游明朝" w:eastAsia="游明朝"/>
          <w:color w:val="222222"/>
          <w:sz w:val="21"/>
        </w:rPr>
        <w:t>政策の線引き：国土数値情報A50（立地適正化計画区域、2020年度版）の居住誘導区域ポリゴン（属性A50_006=2）。</w:t>
      </w:r>
    </w:p>
    <w:p>
      <w:pPr>
        <w:pStyle w:val="ListBullet"/>
        <w:spacing w:after="40" w:line="288" w:lineRule="auto"/>
      </w:pPr>
      <w:r>
        <w:rPr>
          <w:rFonts w:ascii="游明朝" w:hAnsi="游明朝" w:eastAsia="游明朝"/>
          <w:color w:val="222222"/>
          <w:sz w:val="21"/>
        </w:rPr>
        <w:t>手法①（都市レベル）：A50ポリゴン × アトラス重心の点-多角形判定（ray-casting）で各メッシュを区域内/外に分類し、区域内平均score vs 区域外平均scoreを比較。</w:t>
      </w:r>
    </w:p>
    <w:p>
      <w:pPr>
        <w:pStyle w:val="ListBullet"/>
        <w:spacing w:after="40" w:line="288" w:lineRule="auto"/>
      </w:pPr>
      <w:r>
        <w:rPr>
          <w:rFonts w:ascii="游明朝" w:hAnsi="游明朝" w:eastAsia="游明朝"/>
          <w:color w:val="222222"/>
          <w:sz w:val="21"/>
        </w:rPr>
        <w:t>手法②（物件レベル）：当社東北9物件を住所ジオコーディング→最近接1kmメッシュ（全件0.7km以内・同一メッシュ内）に接合し、ランクを取得。ACRI②区域監査の判定と突合。</w:t>
      </w:r>
    </w:p>
    <w:p>
      <w:pPr>
        <w:pStyle w:val="ListBullet"/>
        <w:spacing w:after="40" w:line="288" w:lineRule="auto"/>
      </w:pPr>
      <w:r>
        <w:rPr>
          <w:rFonts w:ascii="游明朝" w:hAnsi="游明朝" w:eastAsia="游明朝"/>
          <w:color w:val="222222"/>
          <w:sz w:val="21"/>
        </w:rPr>
        <w:t>検証：敵対的査読3名が独立スクリプトで再計算。物件接合は2系統（総当たりハーバサイン＋JISメッシュコード決定論的導出）で全9件一致、都市重合は6市すべてn・平均・ランク分布が完全一致を確認。</w:t>
      </w:r>
    </w:p>
    <w:p>
      <w:pPr>
        <w:spacing w:after="120" w:before="0" w:line="300" w:lineRule="auto"/>
      </w:pPr>
      <w:r>
        <w:rPr>
          <w:rFonts w:ascii="游明朝" w:hAnsi="游明朝" w:eastAsia="游明朝"/>
          <w:b w:val="0"/>
          <w:i w:val="0"/>
          <w:color w:val="666666"/>
          <w:sz w:val="19"/>
        </w:rPr>
        <w:t>対象は東北6県（アトラス範囲）。北海道（⑥江別・⑩札幌）・岐阜（②）・静岡（③）はアトラス対象外として除外、夕張は北海道のため定性アンカーに留める。</w:t>
      </w:r>
    </w:p>
    <w:p>
      <w:pPr>
        <w:spacing w:before="280" w:after="120"/>
        <w:pBdr>
          <w:bottom w:val="single" w:sz="6" w:space="4" w:color="1A5FB4"/>
        </w:pBdr>
      </w:pPr>
      <w:r>
        <w:rPr>
          <w:rFonts w:ascii="游ゴシック" w:hAnsi="游ゴシック" w:eastAsia="游ゴシック"/>
          <w:b/>
          <w:color w:val="1A5FB4"/>
          <w:sz w:val="28"/>
        </w:rPr>
        <w:t>第3章　結果① 都市レベル ― 区域×メッシュ重ね合わせ</w:t>
      </w:r>
    </w:p>
    <w:p>
      <w:pPr>
        <w:spacing w:after="80" w:before="0" w:line="300" w:lineRule="auto"/>
      </w:pPr>
      <w:r>
        <w:rPr>
          <w:rFonts w:ascii="游明朝" w:hAnsi="游明朝" w:eastAsia="游明朝"/>
          <w:b w:val="0"/>
          <w:i w:val="0"/>
          <w:color w:val="222222"/>
          <w:sz w:val="21"/>
        </w:rPr>
        <w:t>A50から居住誘導区域を取得できた6市すべてで『区域内平均 ＞ 区域外平均』が成立した。</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47"/>
            <w:shd w:val="clear" w:color="auto" w:fill="0D3066"/>
          </w:tcPr>
          <w:p>
            <w:r/>
            <w:r>
              <w:rPr>
                <w:rFonts w:ascii="游ゴシック" w:hAnsi="游ゴシック" w:eastAsia="游ゴシック"/>
                <w:b/>
                <w:color w:val="FFFFFF"/>
                <w:sz w:val="19"/>
              </w:rPr>
              <w:t>市</w:t>
            </w:r>
          </w:p>
        </w:tc>
        <w:tc>
          <w:tcPr>
            <w:tcW w:type="dxa" w:w="737"/>
            <w:shd w:val="clear" w:color="auto" w:fill="0D3066"/>
          </w:tcPr>
          <w:p>
            <w:r/>
            <w:r>
              <w:rPr>
                <w:rFonts w:ascii="游ゴシック" w:hAnsi="游ゴシック" w:eastAsia="游ゴシック"/>
                <w:b/>
                <w:color w:val="FFFFFF"/>
                <w:sz w:val="19"/>
              </w:rPr>
              <w:t>立適</w:t>
            </w:r>
          </w:p>
        </w:tc>
        <w:tc>
          <w:tcPr>
            <w:tcW w:type="dxa" w:w="1871"/>
            <w:shd w:val="clear" w:color="auto" w:fill="0D3066"/>
          </w:tcPr>
          <w:p>
            <w:r/>
            <w:r>
              <w:rPr>
                <w:rFonts w:ascii="游ゴシック" w:hAnsi="游ゴシック" w:eastAsia="游ゴシック"/>
                <w:b/>
                <w:color w:val="FFFFFF"/>
                <w:sz w:val="19"/>
              </w:rPr>
              <w:t>区域内 n／平均score</w:t>
            </w:r>
          </w:p>
        </w:tc>
        <w:tc>
          <w:tcPr>
            <w:tcW w:type="dxa" w:w="1871"/>
            <w:shd w:val="clear" w:color="auto" w:fill="0D3066"/>
          </w:tcPr>
          <w:p>
            <w:r/>
            <w:r>
              <w:rPr>
                <w:rFonts w:ascii="游ゴシック" w:hAnsi="游ゴシック" w:eastAsia="游ゴシック"/>
                <w:b/>
                <w:color w:val="FFFFFF"/>
                <w:sz w:val="19"/>
              </w:rPr>
              <w:t>区域外 n／平均score</w:t>
            </w:r>
          </w:p>
        </w:tc>
        <w:tc>
          <w:tcPr>
            <w:tcW w:type="dxa" w:w="737"/>
            <w:shd w:val="clear" w:color="auto" w:fill="0D3066"/>
          </w:tcPr>
          <w:p>
            <w:r/>
            <w:r>
              <w:rPr>
                <w:rFonts w:ascii="游ゴシック" w:hAnsi="游ゴシック" w:eastAsia="游ゴシック"/>
                <w:b/>
                <w:color w:val="FFFFFF"/>
                <w:sz w:val="19"/>
              </w:rPr>
              <w:t>差</w:t>
            </w:r>
          </w:p>
        </w:tc>
        <w:tc>
          <w:tcPr>
            <w:tcW w:type="dxa" w:w="2608"/>
            <w:shd w:val="clear" w:color="auto" w:fill="0D3066"/>
          </w:tcPr>
          <w:p>
            <w:r/>
            <w:r>
              <w:rPr>
                <w:rFonts w:ascii="游ゴシック" w:hAnsi="游ゴシック" w:eastAsia="游ゴシック"/>
                <w:b/>
                <w:color w:val="FFFFFF"/>
                <w:sz w:val="19"/>
              </w:rPr>
              <w:t>整合</w:t>
            </w:r>
          </w:p>
        </w:tc>
      </w:tr>
      <w:tr>
        <w:tc>
          <w:tcPr>
            <w:tcW w:type="dxa" w:w="1247"/>
          </w:tcPr>
          <w:p>
            <w:pPr>
              <w:spacing w:line="264" w:lineRule="auto"/>
            </w:pPr>
            <w:r/>
            <w:r>
              <w:rPr>
                <w:rFonts w:ascii="游明朝" w:hAnsi="游明朝" w:eastAsia="游明朝"/>
                <w:color w:val="222222"/>
                <w:sz w:val="18"/>
              </w:rPr>
              <w:t>青森市</w:t>
            </w:r>
          </w:p>
        </w:tc>
        <w:tc>
          <w:tcPr>
            <w:tcW w:type="dxa" w:w="737"/>
          </w:tcPr>
          <w:p>
            <w:pPr>
              <w:spacing w:line="264" w:lineRule="auto"/>
            </w:pPr>
            <w:r/>
            <w:r>
              <w:rPr>
                <w:rFonts w:ascii="游明朝" w:hAnsi="游明朝" w:eastAsia="游明朝"/>
                <w:color w:val="222222"/>
                <w:sz w:val="18"/>
              </w:rPr>
              <w:t>○</w:t>
            </w:r>
          </w:p>
        </w:tc>
        <w:tc>
          <w:tcPr>
            <w:tcW w:type="dxa" w:w="1871"/>
          </w:tcPr>
          <w:p>
            <w:pPr>
              <w:spacing w:line="264" w:lineRule="auto"/>
            </w:pPr>
            <w:r/>
            <w:r>
              <w:rPr>
                <w:rFonts w:ascii="游明朝" w:hAnsi="游明朝" w:eastAsia="游明朝"/>
                <w:color w:val="222222"/>
                <w:sz w:val="18"/>
              </w:rPr>
              <w:t>32／66.0</w:t>
            </w:r>
          </w:p>
        </w:tc>
        <w:tc>
          <w:tcPr>
            <w:tcW w:type="dxa" w:w="1871"/>
          </w:tcPr>
          <w:p>
            <w:pPr>
              <w:spacing w:line="264" w:lineRule="auto"/>
            </w:pPr>
            <w:r/>
            <w:r>
              <w:rPr>
                <w:rFonts w:ascii="游明朝" w:hAnsi="游明朝" w:eastAsia="游明朝"/>
                <w:color w:val="222222"/>
                <w:sz w:val="18"/>
              </w:rPr>
              <w:t>214／57.2</w:t>
            </w:r>
          </w:p>
        </w:tc>
        <w:tc>
          <w:tcPr>
            <w:tcW w:type="dxa" w:w="737"/>
          </w:tcPr>
          <w:p>
            <w:pPr>
              <w:spacing w:line="264" w:lineRule="auto"/>
            </w:pPr>
            <w:r/>
            <w:r>
              <w:rPr>
                <w:rFonts w:ascii="游明朝" w:hAnsi="游明朝" w:eastAsia="游明朝"/>
                <w:color w:val="222222"/>
                <w:sz w:val="18"/>
              </w:rPr>
              <w:t>+8.8</w:t>
            </w:r>
          </w:p>
        </w:tc>
        <w:tc>
          <w:tcPr>
            <w:tcW w:type="dxa" w:w="2608"/>
          </w:tcPr>
          <w:p>
            <w:pPr>
              <w:spacing w:line="264" w:lineRule="auto"/>
            </w:pPr>
            <w:r/>
            <w:r>
              <w:rPr>
                <w:rFonts w:ascii="游明朝" w:hAnsi="游明朝" w:eastAsia="游明朝"/>
                <w:color w:val="222222"/>
                <w:sz w:val="18"/>
              </w:rPr>
              <w:t>整合（区域内 特S+A率97%）</w:t>
            </w:r>
          </w:p>
        </w:tc>
      </w:tr>
      <w:tr>
        <w:tc>
          <w:tcPr>
            <w:tcW w:type="dxa" w:w="1247"/>
          </w:tcPr>
          <w:p>
            <w:pPr>
              <w:spacing w:line="264" w:lineRule="auto"/>
            </w:pPr>
            <w:r/>
            <w:r>
              <w:rPr>
                <w:rFonts w:ascii="游明朝" w:hAnsi="游明朝" w:eastAsia="游明朝"/>
                <w:color w:val="222222"/>
                <w:sz w:val="18"/>
              </w:rPr>
              <w:t>弘前市</w:t>
            </w:r>
          </w:p>
        </w:tc>
        <w:tc>
          <w:tcPr>
            <w:tcW w:type="dxa" w:w="737"/>
          </w:tcPr>
          <w:p>
            <w:pPr>
              <w:spacing w:line="264" w:lineRule="auto"/>
            </w:pPr>
            <w:r/>
            <w:r>
              <w:rPr>
                <w:rFonts w:ascii="游明朝" w:hAnsi="游明朝" w:eastAsia="游明朝"/>
                <w:color w:val="222222"/>
                <w:sz w:val="18"/>
              </w:rPr>
              <w:t>○</w:t>
            </w:r>
          </w:p>
        </w:tc>
        <w:tc>
          <w:tcPr>
            <w:tcW w:type="dxa" w:w="1871"/>
          </w:tcPr>
          <w:p>
            <w:pPr>
              <w:spacing w:line="264" w:lineRule="auto"/>
            </w:pPr>
            <w:r/>
            <w:r>
              <w:rPr>
                <w:rFonts w:ascii="游明朝" w:hAnsi="游明朝" w:eastAsia="游明朝"/>
                <w:color w:val="222222"/>
                <w:sz w:val="18"/>
              </w:rPr>
              <w:t>22／65.7</w:t>
            </w:r>
          </w:p>
        </w:tc>
        <w:tc>
          <w:tcPr>
            <w:tcW w:type="dxa" w:w="1871"/>
          </w:tcPr>
          <w:p>
            <w:pPr>
              <w:spacing w:line="264" w:lineRule="auto"/>
            </w:pPr>
            <w:r/>
            <w:r>
              <w:rPr>
                <w:rFonts w:ascii="游明朝" w:hAnsi="游明朝" w:eastAsia="游明朝"/>
                <w:color w:val="222222"/>
                <w:sz w:val="18"/>
              </w:rPr>
              <w:t>214／53.6</w:t>
            </w:r>
          </w:p>
        </w:tc>
        <w:tc>
          <w:tcPr>
            <w:tcW w:type="dxa" w:w="737"/>
          </w:tcPr>
          <w:p>
            <w:pPr>
              <w:spacing w:line="264" w:lineRule="auto"/>
            </w:pPr>
            <w:r/>
            <w:r>
              <w:rPr>
                <w:rFonts w:ascii="游明朝" w:hAnsi="游明朝" w:eastAsia="游明朝"/>
                <w:color w:val="222222"/>
                <w:sz w:val="18"/>
              </w:rPr>
              <w:t>+12.1</w:t>
            </w:r>
          </w:p>
        </w:tc>
        <w:tc>
          <w:tcPr>
            <w:tcW w:type="dxa" w:w="2608"/>
          </w:tcPr>
          <w:p>
            <w:pPr>
              <w:spacing w:line="264" w:lineRule="auto"/>
            </w:pPr>
            <w:r/>
            <w:r>
              <w:rPr>
                <w:rFonts w:ascii="游明朝" w:hAnsi="游明朝" w:eastAsia="游明朝"/>
                <w:color w:val="222222"/>
                <w:sz w:val="18"/>
              </w:rPr>
              <w:t>強い整合（区域内 全A）</w:t>
            </w:r>
          </w:p>
        </w:tc>
      </w:tr>
      <w:tr>
        <w:tc>
          <w:tcPr>
            <w:tcW w:type="dxa" w:w="1247"/>
          </w:tcPr>
          <w:p>
            <w:pPr>
              <w:spacing w:line="264" w:lineRule="auto"/>
            </w:pPr>
            <w:r/>
            <w:r>
              <w:rPr>
                <w:rFonts w:ascii="游明朝" w:hAnsi="游明朝" w:eastAsia="游明朝"/>
                <w:color w:val="222222"/>
                <w:sz w:val="18"/>
              </w:rPr>
              <w:t>十和田市</w:t>
            </w:r>
          </w:p>
        </w:tc>
        <w:tc>
          <w:tcPr>
            <w:tcW w:type="dxa" w:w="737"/>
          </w:tcPr>
          <w:p>
            <w:pPr>
              <w:spacing w:line="264" w:lineRule="auto"/>
            </w:pPr>
            <w:r/>
            <w:r>
              <w:rPr>
                <w:rFonts w:ascii="游明朝" w:hAnsi="游明朝" w:eastAsia="游明朝"/>
                <w:color w:val="222222"/>
                <w:sz w:val="18"/>
              </w:rPr>
              <w:t>○</w:t>
            </w:r>
          </w:p>
        </w:tc>
        <w:tc>
          <w:tcPr>
            <w:tcW w:type="dxa" w:w="1871"/>
          </w:tcPr>
          <w:p>
            <w:pPr>
              <w:spacing w:line="264" w:lineRule="auto"/>
            </w:pPr>
            <w:r/>
            <w:r>
              <w:rPr>
                <w:rFonts w:ascii="游明朝" w:hAnsi="游明朝" w:eastAsia="游明朝"/>
                <w:color w:val="222222"/>
                <w:sz w:val="18"/>
              </w:rPr>
              <w:t>8／56.7</w:t>
            </w:r>
          </w:p>
        </w:tc>
        <w:tc>
          <w:tcPr>
            <w:tcW w:type="dxa" w:w="1871"/>
          </w:tcPr>
          <w:p>
            <w:pPr>
              <w:spacing w:line="264" w:lineRule="auto"/>
            </w:pPr>
            <w:r/>
            <w:r>
              <w:rPr>
                <w:rFonts w:ascii="游明朝" w:hAnsi="游明朝" w:eastAsia="游明朝"/>
                <w:color w:val="222222"/>
                <w:sz w:val="18"/>
              </w:rPr>
              <w:t>238／43.2</w:t>
            </w:r>
          </w:p>
        </w:tc>
        <w:tc>
          <w:tcPr>
            <w:tcW w:type="dxa" w:w="737"/>
          </w:tcPr>
          <w:p>
            <w:pPr>
              <w:spacing w:line="264" w:lineRule="auto"/>
            </w:pPr>
            <w:r/>
            <w:r>
              <w:rPr>
                <w:rFonts w:ascii="游明朝" w:hAnsi="游明朝" w:eastAsia="游明朝"/>
                <w:color w:val="222222"/>
                <w:sz w:val="18"/>
              </w:rPr>
              <w:t>+13.5</w:t>
            </w:r>
          </w:p>
        </w:tc>
        <w:tc>
          <w:tcPr>
            <w:tcW w:type="dxa" w:w="2608"/>
          </w:tcPr>
          <w:p>
            <w:pPr>
              <w:spacing w:line="264" w:lineRule="auto"/>
            </w:pPr>
            <w:r/>
            <w:r>
              <w:rPr>
                <w:rFonts w:ascii="游明朝" w:hAnsi="游明朝" w:eastAsia="游明朝"/>
                <w:color w:val="222222"/>
                <w:sz w:val="18"/>
              </w:rPr>
              <w:t>部分整合（区域内 主にB）</w:t>
            </w:r>
          </w:p>
        </w:tc>
      </w:tr>
      <w:tr>
        <w:tc>
          <w:tcPr>
            <w:tcW w:type="dxa" w:w="1247"/>
          </w:tcPr>
          <w:p>
            <w:pPr>
              <w:spacing w:line="264" w:lineRule="auto"/>
            </w:pPr>
            <w:r/>
            <w:r>
              <w:rPr>
                <w:rFonts w:ascii="游明朝" w:hAnsi="游明朝" w:eastAsia="游明朝"/>
                <w:color w:val="222222"/>
                <w:sz w:val="18"/>
              </w:rPr>
              <w:t>花巻市</w:t>
            </w:r>
          </w:p>
        </w:tc>
        <w:tc>
          <w:tcPr>
            <w:tcW w:type="dxa" w:w="737"/>
          </w:tcPr>
          <w:p>
            <w:pPr>
              <w:spacing w:line="264" w:lineRule="auto"/>
            </w:pPr>
            <w:r/>
            <w:r>
              <w:rPr>
                <w:rFonts w:ascii="游明朝" w:hAnsi="游明朝" w:eastAsia="游明朝"/>
                <w:color w:val="222222"/>
                <w:sz w:val="18"/>
              </w:rPr>
              <w:t>○</w:t>
            </w:r>
          </w:p>
        </w:tc>
        <w:tc>
          <w:tcPr>
            <w:tcW w:type="dxa" w:w="1871"/>
          </w:tcPr>
          <w:p>
            <w:pPr>
              <w:spacing w:line="264" w:lineRule="auto"/>
            </w:pPr>
            <w:r/>
            <w:r>
              <w:rPr>
                <w:rFonts w:ascii="游明朝" w:hAnsi="游明朝" w:eastAsia="游明朝"/>
                <w:color w:val="222222"/>
                <w:sz w:val="18"/>
              </w:rPr>
              <w:t>6／62.4</w:t>
            </w:r>
          </w:p>
        </w:tc>
        <w:tc>
          <w:tcPr>
            <w:tcW w:type="dxa" w:w="1871"/>
          </w:tcPr>
          <w:p>
            <w:pPr>
              <w:spacing w:line="264" w:lineRule="auto"/>
            </w:pPr>
            <w:r/>
            <w:r>
              <w:rPr>
                <w:rFonts w:ascii="游明朝" w:hAnsi="游明朝" w:eastAsia="游明朝"/>
                <w:color w:val="222222"/>
                <w:sz w:val="18"/>
              </w:rPr>
              <w:t>472／47.5</w:t>
            </w:r>
          </w:p>
        </w:tc>
        <w:tc>
          <w:tcPr>
            <w:tcW w:type="dxa" w:w="737"/>
          </w:tcPr>
          <w:p>
            <w:pPr>
              <w:spacing w:line="264" w:lineRule="auto"/>
            </w:pPr>
            <w:r/>
            <w:r>
              <w:rPr>
                <w:rFonts w:ascii="游明朝" w:hAnsi="游明朝" w:eastAsia="游明朝"/>
                <w:color w:val="222222"/>
                <w:sz w:val="18"/>
              </w:rPr>
              <w:t>+14.9</w:t>
            </w:r>
          </w:p>
        </w:tc>
        <w:tc>
          <w:tcPr>
            <w:tcW w:type="dxa" w:w="2608"/>
          </w:tcPr>
          <w:p>
            <w:pPr>
              <w:spacing w:line="264" w:lineRule="auto"/>
            </w:pPr>
            <w:r/>
            <w:r>
              <w:rPr>
                <w:rFonts w:ascii="游明朝" w:hAnsi="游明朝" w:eastAsia="游明朝"/>
                <w:color w:val="222222"/>
                <w:sz w:val="18"/>
              </w:rPr>
              <w:t>強い整合（区域内 全A）</w:t>
            </w:r>
          </w:p>
        </w:tc>
      </w:tr>
      <w:tr>
        <w:tc>
          <w:tcPr>
            <w:tcW w:type="dxa" w:w="1247"/>
          </w:tcPr>
          <w:p>
            <w:pPr>
              <w:spacing w:line="264" w:lineRule="auto"/>
            </w:pPr>
            <w:r/>
            <w:r>
              <w:rPr>
                <w:rFonts w:ascii="游明朝" w:hAnsi="游明朝" w:eastAsia="游明朝"/>
                <w:color w:val="222222"/>
                <w:sz w:val="18"/>
              </w:rPr>
              <w:t>郡山市</w:t>
            </w:r>
          </w:p>
        </w:tc>
        <w:tc>
          <w:tcPr>
            <w:tcW w:type="dxa" w:w="737"/>
          </w:tcPr>
          <w:p>
            <w:pPr>
              <w:spacing w:line="264" w:lineRule="auto"/>
            </w:pPr>
            <w:r/>
            <w:r>
              <w:rPr>
                <w:rFonts w:ascii="游明朝" w:hAnsi="游明朝" w:eastAsia="游明朝"/>
                <w:color w:val="222222"/>
                <w:sz w:val="18"/>
              </w:rPr>
              <w:t>○</w:t>
            </w:r>
          </w:p>
        </w:tc>
        <w:tc>
          <w:tcPr>
            <w:tcW w:type="dxa" w:w="1871"/>
          </w:tcPr>
          <w:p>
            <w:pPr>
              <w:spacing w:line="264" w:lineRule="auto"/>
            </w:pPr>
            <w:r/>
            <w:r>
              <w:rPr>
                <w:rFonts w:ascii="游明朝" w:hAnsi="游明朝" w:eastAsia="游明朝"/>
                <w:color w:val="222222"/>
                <w:sz w:val="18"/>
              </w:rPr>
              <w:t>20／77.2</w:t>
            </w:r>
          </w:p>
        </w:tc>
        <w:tc>
          <w:tcPr>
            <w:tcW w:type="dxa" w:w="1871"/>
          </w:tcPr>
          <w:p>
            <w:pPr>
              <w:spacing w:line="264" w:lineRule="auto"/>
            </w:pPr>
            <w:r/>
            <w:r>
              <w:rPr>
                <w:rFonts w:ascii="游明朝" w:hAnsi="游明朝" w:eastAsia="游明朝"/>
                <w:color w:val="222222"/>
                <w:sz w:val="18"/>
              </w:rPr>
              <w:t>449／61.0</w:t>
            </w:r>
          </w:p>
        </w:tc>
        <w:tc>
          <w:tcPr>
            <w:tcW w:type="dxa" w:w="737"/>
          </w:tcPr>
          <w:p>
            <w:pPr>
              <w:spacing w:line="264" w:lineRule="auto"/>
            </w:pPr>
            <w:r/>
            <w:r>
              <w:rPr>
                <w:rFonts w:ascii="游明朝" w:hAnsi="游明朝" w:eastAsia="游明朝"/>
                <w:color w:val="222222"/>
                <w:sz w:val="18"/>
              </w:rPr>
              <w:t>+16.2</w:t>
            </w:r>
          </w:p>
        </w:tc>
        <w:tc>
          <w:tcPr>
            <w:tcW w:type="dxa" w:w="2608"/>
          </w:tcPr>
          <w:p>
            <w:pPr>
              <w:spacing w:line="264" w:lineRule="auto"/>
            </w:pPr>
            <w:r/>
            <w:r>
              <w:rPr>
                <w:rFonts w:ascii="游明朝" w:hAnsi="游明朝" w:eastAsia="游明朝"/>
                <w:color w:val="222222"/>
                <w:sz w:val="18"/>
              </w:rPr>
              <w:t>最も明瞭（区域内 特S18集中）</w:t>
            </w:r>
          </w:p>
        </w:tc>
      </w:tr>
      <w:tr>
        <w:tc>
          <w:tcPr>
            <w:tcW w:type="dxa" w:w="1247"/>
          </w:tcPr>
          <w:p>
            <w:pPr>
              <w:spacing w:line="264" w:lineRule="auto"/>
            </w:pPr>
            <w:r/>
            <w:r>
              <w:rPr>
                <w:rFonts w:ascii="游明朝" w:hAnsi="游明朝" w:eastAsia="游明朝"/>
                <w:color w:val="222222"/>
                <w:sz w:val="18"/>
              </w:rPr>
              <w:t>仙台市</w:t>
            </w:r>
          </w:p>
        </w:tc>
        <w:tc>
          <w:tcPr>
            <w:tcW w:type="dxa" w:w="737"/>
          </w:tcPr>
          <w:p>
            <w:pPr>
              <w:spacing w:line="264" w:lineRule="auto"/>
            </w:pPr>
            <w:r/>
            <w:r>
              <w:rPr>
                <w:rFonts w:ascii="游明朝" w:hAnsi="游明朝" w:eastAsia="游明朝"/>
                <w:color w:val="222222"/>
                <w:sz w:val="18"/>
              </w:rPr>
              <w:t>○</w:t>
            </w:r>
          </w:p>
        </w:tc>
        <w:tc>
          <w:tcPr>
            <w:tcW w:type="dxa" w:w="1871"/>
          </w:tcPr>
          <w:p>
            <w:pPr>
              <w:spacing w:line="264" w:lineRule="auto"/>
            </w:pPr>
            <w:r/>
            <w:r>
              <w:rPr>
                <w:rFonts w:ascii="游明朝" w:hAnsi="游明朝" w:eastAsia="游明朝"/>
                <w:color w:val="222222"/>
                <w:sz w:val="18"/>
              </w:rPr>
              <w:t>13／62.9</w:t>
            </w:r>
          </w:p>
        </w:tc>
        <w:tc>
          <w:tcPr>
            <w:tcW w:type="dxa" w:w="1871"/>
          </w:tcPr>
          <w:p>
            <w:pPr>
              <w:spacing w:line="264" w:lineRule="auto"/>
            </w:pPr>
            <w:r/>
            <w:r>
              <w:rPr>
                <w:rFonts w:ascii="游明朝" w:hAnsi="游明朝" w:eastAsia="游明朝"/>
                <w:color w:val="222222"/>
                <w:sz w:val="18"/>
              </w:rPr>
              <w:t>497／50.3</w:t>
            </w:r>
          </w:p>
        </w:tc>
        <w:tc>
          <w:tcPr>
            <w:tcW w:type="dxa" w:w="737"/>
          </w:tcPr>
          <w:p>
            <w:pPr>
              <w:spacing w:line="264" w:lineRule="auto"/>
            </w:pPr>
            <w:r/>
            <w:r>
              <w:rPr>
                <w:rFonts w:ascii="游明朝" w:hAnsi="游明朝" w:eastAsia="游明朝"/>
                <w:color w:val="222222"/>
                <w:sz w:val="18"/>
              </w:rPr>
              <w:t>+12.6</w:t>
            </w:r>
          </w:p>
        </w:tc>
        <w:tc>
          <w:tcPr>
            <w:tcW w:type="dxa" w:w="2608"/>
          </w:tcPr>
          <w:p>
            <w:pPr>
              <w:spacing w:line="264" w:lineRule="auto"/>
            </w:pPr>
            <w:r/>
            <w:r>
              <w:rPr>
                <w:rFonts w:ascii="游明朝" w:hAnsi="游明朝" w:eastAsia="游明朝"/>
                <w:color w:val="222222"/>
                <w:sz w:val="18"/>
              </w:rPr>
              <w:t>整合（区域内 特S+A率77%）</w:t>
            </w:r>
          </w:p>
        </w:tc>
      </w:tr>
      <w:tr>
        <w:tc>
          <w:tcPr>
            <w:tcW w:type="dxa" w:w="1247"/>
          </w:tcPr>
          <w:p>
            <w:pPr>
              <w:spacing w:line="264" w:lineRule="auto"/>
            </w:pPr>
            <w:r/>
            <w:r>
              <w:rPr>
                <w:rFonts w:ascii="游明朝" w:hAnsi="游明朝" w:eastAsia="游明朝"/>
                <w:color w:val="222222"/>
                <w:sz w:val="18"/>
              </w:rPr>
              <w:t>米沢市</w:t>
            </w:r>
          </w:p>
        </w:tc>
        <w:tc>
          <w:tcPr>
            <w:tcW w:type="dxa" w:w="737"/>
          </w:tcPr>
          <w:p>
            <w:pPr>
              <w:spacing w:line="264" w:lineRule="auto"/>
            </w:pPr>
            <w:r/>
            <w:r>
              <w:rPr>
                <w:rFonts w:ascii="游明朝" w:hAnsi="游明朝" w:eastAsia="游明朝"/>
                <w:color w:val="222222"/>
                <w:sz w:val="18"/>
              </w:rPr>
              <w:t>―</w:t>
            </w:r>
          </w:p>
        </w:tc>
        <w:tc>
          <w:tcPr>
            <w:tcW w:type="dxa" w:w="1871"/>
          </w:tcPr>
          <w:p>
            <w:pPr>
              <w:spacing w:line="264" w:lineRule="auto"/>
            </w:pPr>
            <w:r/>
            <w:r>
              <w:rPr>
                <w:rFonts w:ascii="游明朝" w:hAnsi="游明朝" w:eastAsia="游明朝"/>
                <w:color w:val="222222"/>
                <w:sz w:val="18"/>
              </w:rPr>
              <w:t>判定不能</w:t>
            </w:r>
          </w:p>
        </w:tc>
        <w:tc>
          <w:tcPr>
            <w:tcW w:type="dxa" w:w="1871"/>
          </w:tcPr>
          <w:p>
            <w:pPr>
              <w:spacing w:line="264" w:lineRule="auto"/>
            </w:pPr>
            <w:r/>
            <w:r>
              <w:rPr>
                <w:rFonts w:ascii="游明朝" w:hAnsi="游明朝" w:eastAsia="游明朝"/>
                <w:color w:val="222222"/>
                <w:sz w:val="18"/>
              </w:rPr>
              <w:t>判定不能</w:t>
            </w:r>
          </w:p>
        </w:tc>
        <w:tc>
          <w:tcPr>
            <w:tcW w:type="dxa" w:w="737"/>
          </w:tcPr>
          <w:p>
            <w:pPr>
              <w:spacing w:line="264" w:lineRule="auto"/>
            </w:pPr>
            <w:r/>
            <w:r>
              <w:rPr>
                <w:rFonts w:ascii="游明朝" w:hAnsi="游明朝" w:eastAsia="游明朝"/>
                <w:color w:val="222222"/>
                <w:sz w:val="18"/>
              </w:rPr>
              <w:t>―</w:t>
            </w:r>
          </w:p>
        </w:tc>
        <w:tc>
          <w:tcPr>
            <w:tcW w:type="dxa" w:w="2608"/>
          </w:tcPr>
          <w:p>
            <w:pPr>
              <w:spacing w:line="264" w:lineRule="auto"/>
            </w:pPr>
            <w:r/>
            <w:r>
              <w:rPr>
                <w:rFonts w:ascii="游明朝" w:hAnsi="游明朝" w:eastAsia="游明朝"/>
                <w:color w:val="222222"/>
                <w:sz w:val="18"/>
              </w:rPr>
              <w:t>A50-2020 未収録</w:t>
            </w:r>
          </w:p>
        </w:tc>
      </w:tr>
      <w:tr>
        <w:tc>
          <w:tcPr>
            <w:tcW w:type="dxa" w:w="1247"/>
          </w:tcPr>
          <w:p>
            <w:pPr>
              <w:spacing w:line="264" w:lineRule="auto"/>
            </w:pPr>
            <w:r/>
            <w:r>
              <w:rPr>
                <w:rFonts w:ascii="游明朝" w:hAnsi="游明朝" w:eastAsia="游明朝"/>
                <w:color w:val="222222"/>
                <w:sz w:val="18"/>
              </w:rPr>
              <w:t>南相馬市</w:t>
            </w:r>
          </w:p>
        </w:tc>
        <w:tc>
          <w:tcPr>
            <w:tcW w:type="dxa" w:w="737"/>
          </w:tcPr>
          <w:p>
            <w:pPr>
              <w:spacing w:line="264" w:lineRule="auto"/>
            </w:pPr>
            <w:r/>
            <w:r>
              <w:rPr>
                <w:rFonts w:ascii="游明朝" w:hAnsi="游明朝" w:eastAsia="游明朝"/>
                <w:color w:val="222222"/>
                <w:sz w:val="18"/>
              </w:rPr>
              <w:t>―</w:t>
            </w:r>
          </w:p>
        </w:tc>
        <w:tc>
          <w:tcPr>
            <w:tcW w:type="dxa" w:w="1871"/>
          </w:tcPr>
          <w:p>
            <w:pPr>
              <w:spacing w:line="264" w:lineRule="auto"/>
            </w:pPr>
            <w:r/>
            <w:r>
              <w:rPr>
                <w:rFonts w:ascii="游明朝" w:hAnsi="游明朝" w:eastAsia="游明朝"/>
                <w:color w:val="222222"/>
                <w:sz w:val="18"/>
              </w:rPr>
              <w:t>判定不能</w:t>
            </w:r>
          </w:p>
        </w:tc>
        <w:tc>
          <w:tcPr>
            <w:tcW w:type="dxa" w:w="1871"/>
          </w:tcPr>
          <w:p>
            <w:pPr>
              <w:spacing w:line="264" w:lineRule="auto"/>
            </w:pPr>
            <w:r/>
            <w:r>
              <w:rPr>
                <w:rFonts w:ascii="游明朝" w:hAnsi="游明朝" w:eastAsia="游明朝"/>
                <w:color w:val="222222"/>
                <w:sz w:val="18"/>
              </w:rPr>
              <w:t>判定不能</w:t>
            </w:r>
          </w:p>
        </w:tc>
        <w:tc>
          <w:tcPr>
            <w:tcW w:type="dxa" w:w="737"/>
          </w:tcPr>
          <w:p>
            <w:pPr>
              <w:spacing w:line="264" w:lineRule="auto"/>
            </w:pPr>
            <w:r/>
            <w:r>
              <w:rPr>
                <w:rFonts w:ascii="游明朝" w:hAnsi="游明朝" w:eastAsia="游明朝"/>
                <w:color w:val="222222"/>
                <w:sz w:val="18"/>
              </w:rPr>
              <w:t>―</w:t>
            </w:r>
          </w:p>
        </w:tc>
        <w:tc>
          <w:tcPr>
            <w:tcW w:type="dxa" w:w="2608"/>
          </w:tcPr>
          <w:p>
            <w:pPr>
              <w:spacing w:line="264" w:lineRule="auto"/>
            </w:pPr>
            <w:r/>
            <w:r>
              <w:rPr>
                <w:rFonts w:ascii="游明朝" w:hAnsi="游明朝" w:eastAsia="游明朝"/>
                <w:color w:val="222222"/>
                <w:sz w:val="18"/>
              </w:rPr>
              <w:t>A50-2020 未収録</w:t>
            </w:r>
          </w:p>
        </w:tc>
      </w:tr>
    </w:tbl>
    <w:p>
      <w:pPr>
        <w:spacing w:after="40" w:before="0" w:line="300" w:lineRule="auto"/>
      </w:pPr>
    </w:p>
    <w:p>
      <w:pPr>
        <w:spacing w:after="120" w:before="0" w:line="300" w:lineRule="auto"/>
      </w:pPr>
      <w:r>
        <w:rPr>
          <w:rFonts w:ascii="游明朝" w:hAnsi="游明朝" w:eastAsia="游明朝"/>
          <w:b w:val="0"/>
          <w:i w:val="0"/>
          <w:color w:val="222222"/>
          <w:sz w:val="21"/>
        </w:rPr>
        <w:t>6市すべてで区域内が高く、うち5市で区域内にCランクがゼロ。最も明瞭なのは郡山（区域内に特S18・A2を集中内包）。十和田は区域内が主にBランク（特S+A率12%）と弱いが、区域外（B101/C137、0%）より明確に高く方向性は一貫——『構造的に弱い市でも、政策は相対的に最良のメッシュを掴んでいる』。米沢・南相馬はA50-2020に区域データが未収録で“判定不能”（“区域なし”ではない）として誠実に除外した。</w:t>
      </w:r>
    </w:p>
    <w:p>
      <w:pPr>
        <w:spacing w:before="280" w:after="120"/>
        <w:pBdr>
          <w:bottom w:val="single" w:sz="6" w:space="4" w:color="1A5FB4"/>
        </w:pBdr>
      </w:pPr>
      <w:r>
        <w:rPr>
          <w:rFonts w:ascii="游ゴシック" w:hAnsi="游ゴシック" w:eastAsia="游ゴシック"/>
          <w:b/>
          <w:color w:val="1A5FB4"/>
          <w:sz w:val="28"/>
        </w:rPr>
        <w:t>第4章　結果② 物件レベル ― 当社9物件のクロス監査</w:t>
      </w:r>
    </w:p>
    <w:p>
      <w:pPr>
        <w:spacing w:after="80" w:before="0" w:line="300" w:lineRule="auto"/>
      </w:pPr>
      <w:r>
        <w:rPr>
          <w:rFonts w:ascii="游明朝" w:hAnsi="游明朝" w:eastAsia="游明朝"/>
          <w:b w:val="0"/>
          <w:i w:val="0"/>
          <w:color w:val="222222"/>
          <w:sz w:val="21"/>
        </w:rPr>
        <w:t>当社東北9物件を1kmメッシュへ接合（誤接合ゼロ、査読で2系統再現）。区域監査の判定（政策）とメッシュランク（データ）のクロスが、一致と乖離を物件名つきで可視化した。</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67"/>
            <w:shd w:val="clear" w:color="auto" w:fill="0D3066"/>
          </w:tcPr>
          <w:p>
            <w:r/>
            <w:r>
              <w:rPr>
                <w:rFonts w:ascii="游ゴシック" w:hAnsi="游ゴシック" w:eastAsia="游ゴシック"/>
                <w:b/>
                <w:color w:val="FFFFFF"/>
                <w:sz w:val="19"/>
              </w:rPr>
              <w:t>記号</w:t>
            </w:r>
          </w:p>
        </w:tc>
        <w:tc>
          <w:tcPr>
            <w:tcW w:type="dxa" w:w="1474"/>
            <w:shd w:val="clear" w:color="auto" w:fill="0D3066"/>
          </w:tcPr>
          <w:p>
            <w:r/>
            <w:r>
              <w:rPr>
                <w:rFonts w:ascii="游ゴシック" w:hAnsi="游ゴシック" w:eastAsia="游ゴシック"/>
                <w:b/>
                <w:color w:val="FFFFFF"/>
                <w:sz w:val="19"/>
              </w:rPr>
              <w:t>物件</w:t>
            </w:r>
          </w:p>
        </w:tc>
        <w:tc>
          <w:tcPr>
            <w:tcW w:type="dxa" w:w="1134"/>
            <w:shd w:val="clear" w:color="auto" w:fill="0D3066"/>
          </w:tcPr>
          <w:p>
            <w:r/>
            <w:r>
              <w:rPr>
                <w:rFonts w:ascii="游ゴシック" w:hAnsi="游ゴシック" w:eastAsia="游ゴシック"/>
                <w:b/>
                <w:color w:val="FFFFFF"/>
                <w:sz w:val="19"/>
              </w:rPr>
              <w:t>市</w:t>
            </w:r>
          </w:p>
        </w:tc>
        <w:tc>
          <w:tcPr>
            <w:tcW w:type="dxa" w:w="1077"/>
            <w:shd w:val="clear" w:color="auto" w:fill="0D3066"/>
          </w:tcPr>
          <w:p>
            <w:r/>
            <w:r>
              <w:rPr>
                <w:rFonts w:ascii="游ゴシック" w:hAnsi="游ゴシック" w:eastAsia="游ゴシック"/>
                <w:b/>
                <w:color w:val="FFFFFF"/>
                <w:sz w:val="19"/>
              </w:rPr>
              <w:t>メッシュ</w:t>
            </w:r>
          </w:p>
        </w:tc>
        <w:tc>
          <w:tcPr>
            <w:tcW w:type="dxa" w:w="907"/>
            <w:shd w:val="clear" w:color="auto" w:fill="0D3066"/>
          </w:tcPr>
          <w:p>
            <w:r/>
            <w:r>
              <w:rPr>
                <w:rFonts w:ascii="游ゴシック" w:hAnsi="游ゴシック" w:eastAsia="游ゴシック"/>
                <w:b/>
                <w:color w:val="FFFFFF"/>
                <w:sz w:val="19"/>
              </w:rPr>
              <w:t>ランク/score</w:t>
            </w:r>
          </w:p>
        </w:tc>
        <w:tc>
          <w:tcPr>
            <w:tcW w:type="dxa" w:w="680"/>
            <w:shd w:val="clear" w:color="auto" w:fill="0D3066"/>
          </w:tcPr>
          <w:p>
            <w:r/>
            <w:r>
              <w:rPr>
                <w:rFonts w:ascii="游ゴシック" w:hAnsi="游ゴシック" w:eastAsia="游ゴシック"/>
                <w:b/>
                <w:color w:val="FFFFFF"/>
                <w:sz w:val="19"/>
              </w:rPr>
              <w:t>ﾊｻﾞｰﾄﾞ</w:t>
            </w:r>
          </w:p>
        </w:tc>
        <w:tc>
          <w:tcPr>
            <w:tcW w:type="dxa" w:w="1474"/>
            <w:shd w:val="clear" w:color="auto" w:fill="0D3066"/>
          </w:tcPr>
          <w:p>
            <w:r/>
            <w:r>
              <w:rPr>
                <w:rFonts w:ascii="游ゴシック" w:hAnsi="游ゴシック" w:eastAsia="游ゴシック"/>
                <w:b/>
                <w:color w:val="FFFFFF"/>
                <w:sz w:val="19"/>
              </w:rPr>
              <w:t>区域監査(政策)</w:t>
            </w:r>
          </w:p>
        </w:tc>
        <w:tc>
          <w:tcPr>
            <w:tcW w:type="dxa" w:w="1928"/>
            <w:shd w:val="clear" w:color="auto" w:fill="0D3066"/>
          </w:tcPr>
          <w:p>
            <w:r/>
            <w:r>
              <w:rPr>
                <w:rFonts w:ascii="游ゴシック" w:hAnsi="游ゴシック" w:eastAsia="游ゴシック"/>
                <w:b/>
                <w:color w:val="FFFFFF"/>
                <w:sz w:val="19"/>
              </w:rPr>
              <w:t>政策×データ判定</w:t>
            </w:r>
          </w:p>
        </w:tc>
      </w:tr>
      <w:tr>
        <w:tc>
          <w:tcPr>
            <w:tcW w:type="dxa" w:w="567"/>
          </w:tcPr>
          <w:p>
            <w:pPr>
              <w:spacing w:line="264" w:lineRule="auto"/>
            </w:pPr>
            <w:r/>
            <w:r>
              <w:rPr>
                <w:rFonts w:ascii="游明朝" w:hAnsi="游明朝" w:eastAsia="游明朝"/>
                <w:color w:val="222222"/>
                <w:sz w:val="18"/>
              </w:rPr>
              <w:t>⑮</w:t>
            </w:r>
          </w:p>
        </w:tc>
        <w:tc>
          <w:tcPr>
            <w:tcW w:type="dxa" w:w="1474"/>
          </w:tcPr>
          <w:p>
            <w:pPr>
              <w:spacing w:line="264" w:lineRule="auto"/>
            </w:pPr>
            <w:r/>
            <w:r>
              <w:rPr>
                <w:rFonts w:ascii="游明朝" w:hAnsi="游明朝" w:eastAsia="游明朝"/>
                <w:color w:val="222222"/>
                <w:sz w:val="18"/>
              </w:rPr>
              <w:t>仙台</w:t>
            </w:r>
          </w:p>
        </w:tc>
        <w:tc>
          <w:tcPr>
            <w:tcW w:type="dxa" w:w="1134"/>
          </w:tcPr>
          <w:p>
            <w:pPr>
              <w:spacing w:line="264" w:lineRule="auto"/>
            </w:pPr>
            <w:r/>
            <w:r>
              <w:rPr>
                <w:rFonts w:ascii="游明朝" w:hAnsi="游明朝" w:eastAsia="游明朝"/>
                <w:color w:val="222222"/>
                <w:sz w:val="18"/>
              </w:rPr>
              <w:t>仙台市青葉区</w:t>
            </w:r>
          </w:p>
        </w:tc>
        <w:tc>
          <w:tcPr>
            <w:tcW w:type="dxa" w:w="1077"/>
          </w:tcPr>
          <w:p>
            <w:pPr>
              <w:spacing w:line="264" w:lineRule="auto"/>
            </w:pPr>
            <w:r/>
            <w:r>
              <w:rPr>
                <w:rFonts w:ascii="游明朝" w:hAnsi="游明朝" w:eastAsia="游明朝"/>
                <w:color w:val="222222"/>
                <w:sz w:val="18"/>
              </w:rPr>
              <w:t>57403710</w:t>
            </w:r>
          </w:p>
        </w:tc>
        <w:tc>
          <w:tcPr>
            <w:tcW w:type="dxa" w:w="907"/>
          </w:tcPr>
          <w:p>
            <w:pPr>
              <w:spacing w:line="264" w:lineRule="auto"/>
            </w:pPr>
            <w:r/>
            <w:r>
              <w:rPr>
                <w:rFonts w:ascii="游明朝" w:hAnsi="游明朝" w:eastAsia="游明朝"/>
                <w:color w:val="222222"/>
                <w:sz w:val="18"/>
              </w:rPr>
              <w:t>特S 82.7</w:t>
            </w:r>
          </w:p>
        </w:tc>
        <w:tc>
          <w:tcPr>
            <w:tcW w:type="dxa" w:w="680"/>
          </w:tcPr>
          <w:p>
            <w:pPr>
              <w:spacing w:line="264" w:lineRule="auto"/>
            </w:pPr>
            <w:r/>
            <w:r>
              <w:rPr>
                <w:rFonts w:ascii="游明朝" w:hAnsi="游明朝" w:eastAsia="游明朝"/>
                <w:color w:val="222222"/>
                <w:sz w:val="18"/>
              </w:rPr>
              <w:t>―</w:t>
            </w:r>
          </w:p>
        </w:tc>
        <w:tc>
          <w:tcPr>
            <w:tcW w:type="dxa" w:w="1474"/>
          </w:tcPr>
          <w:p>
            <w:pPr>
              <w:spacing w:line="264" w:lineRule="auto"/>
            </w:pPr>
            <w:r/>
            <w:r>
              <w:rPr>
                <w:rFonts w:ascii="游明朝" w:hAnsi="游明朝" w:eastAsia="游明朝"/>
                <w:color w:val="222222"/>
                <w:sz w:val="18"/>
              </w:rPr>
              <w:t>区域内(推定)</w:t>
            </w:r>
          </w:p>
        </w:tc>
        <w:tc>
          <w:tcPr>
            <w:tcW w:type="dxa" w:w="1928"/>
          </w:tcPr>
          <w:p>
            <w:pPr>
              <w:spacing w:line="264" w:lineRule="auto"/>
            </w:pPr>
            <w:r/>
            <w:r>
              <w:rPr>
                <w:rFonts w:ascii="游明朝" w:hAnsi="游明朝" w:eastAsia="游明朝"/>
                <w:color w:val="222222"/>
                <w:sz w:val="18"/>
              </w:rPr>
              <w:t>一致：区域内×高（9件中最強）</w:t>
            </w:r>
          </w:p>
        </w:tc>
      </w:tr>
      <w:tr>
        <w:tc>
          <w:tcPr>
            <w:tcW w:type="dxa" w:w="567"/>
          </w:tcPr>
          <w:p>
            <w:pPr>
              <w:spacing w:line="264" w:lineRule="auto"/>
            </w:pPr>
            <w:r/>
            <w:r>
              <w:rPr>
                <w:rFonts w:ascii="游明朝" w:hAnsi="游明朝" w:eastAsia="游明朝"/>
                <w:color w:val="222222"/>
                <w:sz w:val="18"/>
              </w:rPr>
              <w:t>⑨</w:t>
            </w:r>
          </w:p>
        </w:tc>
        <w:tc>
          <w:tcPr>
            <w:tcW w:type="dxa" w:w="1474"/>
          </w:tcPr>
          <w:p>
            <w:pPr>
              <w:spacing w:line="264" w:lineRule="auto"/>
            </w:pPr>
            <w:r/>
            <w:r>
              <w:rPr>
                <w:rFonts w:ascii="游明朝" w:hAnsi="游明朝" w:eastAsia="游明朝"/>
                <w:color w:val="222222"/>
                <w:sz w:val="18"/>
              </w:rPr>
              <w:t>弘前ウェストヒル</w:t>
            </w:r>
          </w:p>
        </w:tc>
        <w:tc>
          <w:tcPr>
            <w:tcW w:type="dxa" w:w="1134"/>
          </w:tcPr>
          <w:p>
            <w:pPr>
              <w:spacing w:line="264" w:lineRule="auto"/>
            </w:pPr>
            <w:r/>
            <w:r>
              <w:rPr>
                <w:rFonts w:ascii="游明朝" w:hAnsi="游明朝" w:eastAsia="游明朝"/>
                <w:color w:val="222222"/>
                <w:sz w:val="18"/>
              </w:rPr>
              <w:t>弘前市</w:t>
            </w:r>
          </w:p>
        </w:tc>
        <w:tc>
          <w:tcPr>
            <w:tcW w:type="dxa" w:w="1077"/>
          </w:tcPr>
          <w:p>
            <w:pPr>
              <w:spacing w:line="264" w:lineRule="auto"/>
            </w:pPr>
            <w:r/>
            <w:r>
              <w:rPr>
                <w:rFonts w:ascii="游明朝" w:hAnsi="游明朝" w:eastAsia="游明朝"/>
                <w:color w:val="222222"/>
                <w:sz w:val="18"/>
              </w:rPr>
              <w:t>60407307</w:t>
            </w:r>
          </w:p>
        </w:tc>
        <w:tc>
          <w:tcPr>
            <w:tcW w:type="dxa" w:w="907"/>
          </w:tcPr>
          <w:p>
            <w:pPr>
              <w:spacing w:line="264" w:lineRule="auto"/>
            </w:pPr>
            <w:r/>
            <w:r>
              <w:rPr>
                <w:rFonts w:ascii="游明朝" w:hAnsi="游明朝" w:eastAsia="游明朝"/>
                <w:color w:val="222222"/>
                <w:sz w:val="18"/>
              </w:rPr>
              <w:t>A 67.6</w:t>
            </w:r>
          </w:p>
        </w:tc>
        <w:tc>
          <w:tcPr>
            <w:tcW w:type="dxa" w:w="680"/>
          </w:tcPr>
          <w:p>
            <w:pPr>
              <w:spacing w:line="264" w:lineRule="auto"/>
            </w:pPr>
            <w:r/>
            <w:r>
              <w:rPr>
                <w:rFonts w:ascii="游明朝" w:hAnsi="游明朝" w:eastAsia="游明朝"/>
                <w:color w:val="222222"/>
                <w:sz w:val="18"/>
              </w:rPr>
              <w:t>―</w:t>
            </w:r>
          </w:p>
        </w:tc>
        <w:tc>
          <w:tcPr>
            <w:tcW w:type="dxa" w:w="1474"/>
          </w:tcPr>
          <w:p>
            <w:pPr>
              <w:spacing w:line="264" w:lineRule="auto"/>
            </w:pPr>
            <w:r/>
            <w:r>
              <w:rPr>
                <w:rFonts w:ascii="游明朝" w:hAnsi="游明朝" w:eastAsia="游明朝"/>
                <w:color w:val="222222"/>
                <w:sz w:val="18"/>
              </w:rPr>
              <w:t>区域内(確定)</w:t>
            </w:r>
          </w:p>
        </w:tc>
        <w:tc>
          <w:tcPr>
            <w:tcW w:type="dxa" w:w="1928"/>
          </w:tcPr>
          <w:p>
            <w:pPr>
              <w:spacing w:line="264" w:lineRule="auto"/>
            </w:pPr>
            <w:r/>
            <w:r>
              <w:rPr>
                <w:rFonts w:ascii="游明朝" w:hAnsi="游明朝" w:eastAsia="游明朝"/>
                <w:color w:val="222222"/>
                <w:sz w:val="18"/>
              </w:rPr>
              <w:t>一致：区域内×高（接合76m最精度）</w:t>
            </w:r>
          </w:p>
        </w:tc>
      </w:tr>
      <w:tr>
        <w:tc>
          <w:tcPr>
            <w:tcW w:type="dxa" w:w="567"/>
          </w:tcPr>
          <w:p>
            <w:pPr>
              <w:spacing w:line="264" w:lineRule="auto"/>
            </w:pPr>
            <w:r/>
            <w:r>
              <w:rPr>
                <w:rFonts w:ascii="游明朝" w:hAnsi="游明朝" w:eastAsia="游明朝"/>
                <w:color w:val="222222"/>
                <w:sz w:val="18"/>
              </w:rPr>
              <w:t>⑦</w:t>
            </w:r>
          </w:p>
        </w:tc>
        <w:tc>
          <w:tcPr>
            <w:tcW w:type="dxa" w:w="1474"/>
          </w:tcPr>
          <w:p>
            <w:pPr>
              <w:spacing w:line="264" w:lineRule="auto"/>
            </w:pPr>
            <w:r/>
            <w:r>
              <w:rPr>
                <w:rFonts w:ascii="游明朝" w:hAnsi="游明朝" w:eastAsia="游明朝"/>
                <w:color w:val="222222"/>
                <w:sz w:val="18"/>
              </w:rPr>
              <w:t>米沢KS春日</w:t>
            </w:r>
          </w:p>
        </w:tc>
        <w:tc>
          <w:tcPr>
            <w:tcW w:type="dxa" w:w="1134"/>
          </w:tcPr>
          <w:p>
            <w:pPr>
              <w:spacing w:line="264" w:lineRule="auto"/>
            </w:pPr>
            <w:r/>
            <w:r>
              <w:rPr>
                <w:rFonts w:ascii="游明朝" w:hAnsi="游明朝" w:eastAsia="游明朝"/>
                <w:color w:val="222222"/>
                <w:sz w:val="18"/>
              </w:rPr>
              <w:t>米沢市</w:t>
            </w:r>
          </w:p>
        </w:tc>
        <w:tc>
          <w:tcPr>
            <w:tcW w:type="dxa" w:w="1077"/>
          </w:tcPr>
          <w:p>
            <w:pPr>
              <w:spacing w:line="264" w:lineRule="auto"/>
            </w:pPr>
            <w:r/>
            <w:r>
              <w:rPr>
                <w:rFonts w:ascii="游明朝" w:hAnsi="游明朝" w:eastAsia="游明朝"/>
                <w:color w:val="222222"/>
                <w:sz w:val="18"/>
              </w:rPr>
              <w:t>56407009</w:t>
            </w:r>
          </w:p>
        </w:tc>
        <w:tc>
          <w:tcPr>
            <w:tcW w:type="dxa" w:w="907"/>
          </w:tcPr>
          <w:p>
            <w:pPr>
              <w:spacing w:line="264" w:lineRule="auto"/>
            </w:pPr>
            <w:r/>
            <w:r>
              <w:rPr>
                <w:rFonts w:ascii="游明朝" w:hAnsi="游明朝" w:eastAsia="游明朝"/>
                <w:color w:val="222222"/>
                <w:sz w:val="18"/>
              </w:rPr>
              <w:t>A 68.5</w:t>
            </w:r>
          </w:p>
        </w:tc>
        <w:tc>
          <w:tcPr>
            <w:tcW w:type="dxa" w:w="680"/>
          </w:tcPr>
          <w:p>
            <w:pPr>
              <w:spacing w:line="264" w:lineRule="auto"/>
            </w:pPr>
            <w:r/>
            <w:r>
              <w:rPr>
                <w:rFonts w:ascii="游明朝" w:hAnsi="游明朝" w:eastAsia="游明朝"/>
                <w:color w:val="222222"/>
                <w:sz w:val="18"/>
              </w:rPr>
              <w:t>―</w:t>
            </w:r>
          </w:p>
        </w:tc>
        <w:tc>
          <w:tcPr>
            <w:tcW w:type="dxa" w:w="1474"/>
          </w:tcPr>
          <w:p>
            <w:pPr>
              <w:spacing w:line="264" w:lineRule="auto"/>
            </w:pPr>
            <w:r/>
            <w:r>
              <w:rPr>
                <w:rFonts w:ascii="游明朝" w:hAnsi="游明朝" w:eastAsia="游明朝"/>
                <w:color w:val="222222"/>
                <w:sz w:val="18"/>
              </w:rPr>
              <w:t>区域内(1-3丁目)</w:t>
            </w:r>
          </w:p>
        </w:tc>
        <w:tc>
          <w:tcPr>
            <w:tcW w:type="dxa" w:w="1928"/>
          </w:tcPr>
          <w:p>
            <w:pPr>
              <w:spacing w:line="264" w:lineRule="auto"/>
            </w:pPr>
            <w:r/>
            <w:r>
              <w:rPr>
                <w:rFonts w:ascii="游明朝" w:hAnsi="游明朝" w:eastAsia="游明朝"/>
                <w:color w:val="222222"/>
                <w:sz w:val="18"/>
              </w:rPr>
              <w:t>一致：区域内×高</w:t>
            </w:r>
          </w:p>
        </w:tc>
      </w:tr>
      <w:tr>
        <w:tc>
          <w:tcPr>
            <w:tcW w:type="dxa" w:w="567"/>
          </w:tcPr>
          <w:p>
            <w:pPr>
              <w:spacing w:line="264" w:lineRule="auto"/>
            </w:pPr>
            <w:r/>
            <w:r>
              <w:rPr>
                <w:rFonts w:ascii="游明朝" w:hAnsi="游明朝" w:eastAsia="游明朝"/>
                <w:color w:val="222222"/>
                <w:sz w:val="18"/>
              </w:rPr>
              <w:t>④</w:t>
            </w:r>
          </w:p>
        </w:tc>
        <w:tc>
          <w:tcPr>
            <w:tcW w:type="dxa" w:w="1474"/>
          </w:tcPr>
          <w:p>
            <w:pPr>
              <w:spacing w:line="264" w:lineRule="auto"/>
            </w:pPr>
            <w:r/>
            <w:r>
              <w:rPr>
                <w:rFonts w:ascii="游明朝" w:hAnsi="游明朝" w:eastAsia="游明朝"/>
                <w:color w:val="222222"/>
                <w:sz w:val="18"/>
              </w:rPr>
              <w:t>メゾンドアーク</w:t>
            </w:r>
          </w:p>
        </w:tc>
        <w:tc>
          <w:tcPr>
            <w:tcW w:type="dxa" w:w="1134"/>
          </w:tcPr>
          <w:p>
            <w:pPr>
              <w:spacing w:line="264" w:lineRule="auto"/>
            </w:pPr>
            <w:r/>
            <w:r>
              <w:rPr>
                <w:rFonts w:ascii="游明朝" w:hAnsi="游明朝" w:eastAsia="游明朝"/>
                <w:color w:val="222222"/>
                <w:sz w:val="18"/>
              </w:rPr>
              <w:t>青森市</w:t>
            </w:r>
          </w:p>
        </w:tc>
        <w:tc>
          <w:tcPr>
            <w:tcW w:type="dxa" w:w="1077"/>
          </w:tcPr>
          <w:p>
            <w:pPr>
              <w:spacing w:line="264" w:lineRule="auto"/>
            </w:pPr>
            <w:r/>
            <w:r>
              <w:rPr>
                <w:rFonts w:ascii="游明朝" w:hAnsi="游明朝" w:eastAsia="游明朝"/>
                <w:color w:val="222222"/>
                <w:sz w:val="18"/>
              </w:rPr>
              <w:t>61401586</w:t>
            </w:r>
          </w:p>
        </w:tc>
        <w:tc>
          <w:tcPr>
            <w:tcW w:type="dxa" w:w="907"/>
          </w:tcPr>
          <w:p>
            <w:pPr>
              <w:spacing w:line="264" w:lineRule="auto"/>
            </w:pPr>
            <w:r/>
            <w:r>
              <w:rPr>
                <w:rFonts w:ascii="游明朝" w:hAnsi="游明朝" w:eastAsia="游明朝"/>
                <w:color w:val="222222"/>
                <w:sz w:val="18"/>
              </w:rPr>
              <w:t>A 65.5</w:t>
            </w:r>
          </w:p>
        </w:tc>
        <w:tc>
          <w:tcPr>
            <w:tcW w:type="dxa" w:w="680"/>
          </w:tcPr>
          <w:p>
            <w:pPr>
              <w:spacing w:line="264" w:lineRule="auto"/>
            </w:pPr>
            <w:r/>
            <w:r>
              <w:rPr>
                <w:rFonts w:ascii="游明朝" w:hAnsi="游明朝" w:eastAsia="游明朝"/>
                <w:color w:val="222222"/>
                <w:sz w:val="18"/>
              </w:rPr>
              <w:t>―</w:t>
            </w:r>
          </w:p>
        </w:tc>
        <w:tc>
          <w:tcPr>
            <w:tcW w:type="dxa" w:w="1474"/>
          </w:tcPr>
          <w:p>
            <w:pPr>
              <w:spacing w:line="264" w:lineRule="auto"/>
            </w:pPr>
            <w:r/>
            <w:r>
              <w:rPr>
                <w:rFonts w:ascii="游明朝" w:hAnsi="游明朝" w:eastAsia="游明朝"/>
                <w:color w:val="222222"/>
                <w:sz w:val="18"/>
              </w:rPr>
              <w:t>区域内(境界)</w:t>
            </w:r>
          </w:p>
        </w:tc>
        <w:tc>
          <w:tcPr>
            <w:tcW w:type="dxa" w:w="1928"/>
          </w:tcPr>
          <w:p>
            <w:pPr>
              <w:spacing w:line="264" w:lineRule="auto"/>
            </w:pPr>
            <w:r/>
            <w:r>
              <w:rPr>
                <w:rFonts w:ascii="游明朝" w:hAnsi="游明朝" w:eastAsia="游明朝"/>
                <w:color w:val="222222"/>
                <w:sz w:val="18"/>
              </w:rPr>
              <w:t>一致：区域内×高</w:t>
            </w:r>
          </w:p>
        </w:tc>
      </w:tr>
      <w:tr>
        <w:tc>
          <w:tcPr>
            <w:tcW w:type="dxa" w:w="567"/>
          </w:tcPr>
          <w:p>
            <w:pPr>
              <w:spacing w:line="264" w:lineRule="auto"/>
            </w:pPr>
            <w:r/>
            <w:r>
              <w:rPr>
                <w:rFonts w:ascii="游明朝" w:hAnsi="游明朝" w:eastAsia="游明朝"/>
                <w:color w:val="222222"/>
                <w:sz w:val="18"/>
              </w:rPr>
              <w:t>⑫</w:t>
            </w:r>
          </w:p>
        </w:tc>
        <w:tc>
          <w:tcPr>
            <w:tcW w:type="dxa" w:w="1474"/>
          </w:tcPr>
          <w:p>
            <w:pPr>
              <w:spacing w:line="264" w:lineRule="auto"/>
            </w:pPr>
            <w:r/>
            <w:r>
              <w:rPr>
                <w:rFonts w:ascii="游明朝" w:hAnsi="游明朝" w:eastAsia="游明朝"/>
                <w:color w:val="222222"/>
                <w:sz w:val="18"/>
              </w:rPr>
              <w:t>郡山グレースランド</w:t>
            </w:r>
          </w:p>
        </w:tc>
        <w:tc>
          <w:tcPr>
            <w:tcW w:type="dxa" w:w="1134"/>
          </w:tcPr>
          <w:p>
            <w:pPr>
              <w:spacing w:line="264" w:lineRule="auto"/>
            </w:pPr>
            <w:r/>
            <w:r>
              <w:rPr>
                <w:rFonts w:ascii="游明朝" w:hAnsi="游明朝" w:eastAsia="游明朝"/>
                <w:color w:val="222222"/>
                <w:sz w:val="18"/>
              </w:rPr>
              <w:t>郡山市</w:t>
            </w:r>
          </w:p>
        </w:tc>
        <w:tc>
          <w:tcPr>
            <w:tcW w:type="dxa" w:w="1077"/>
          </w:tcPr>
          <w:p>
            <w:pPr>
              <w:spacing w:line="264" w:lineRule="auto"/>
            </w:pPr>
            <w:r/>
            <w:r>
              <w:rPr>
                <w:rFonts w:ascii="游明朝" w:hAnsi="游明朝" w:eastAsia="游明朝"/>
                <w:color w:val="222222"/>
                <w:sz w:val="18"/>
              </w:rPr>
              <w:t>56400331</w:t>
            </w:r>
          </w:p>
        </w:tc>
        <w:tc>
          <w:tcPr>
            <w:tcW w:type="dxa" w:w="907"/>
          </w:tcPr>
          <w:p>
            <w:pPr>
              <w:spacing w:line="264" w:lineRule="auto"/>
            </w:pPr>
            <w:r/>
            <w:r>
              <w:rPr>
                <w:rFonts w:ascii="游明朝" w:hAnsi="游明朝" w:eastAsia="游明朝"/>
                <w:color w:val="222222"/>
                <w:sz w:val="18"/>
              </w:rPr>
              <w:t>A 69.2</w:t>
            </w:r>
          </w:p>
        </w:tc>
        <w:tc>
          <w:tcPr>
            <w:tcW w:type="dxa" w:w="680"/>
          </w:tcPr>
          <w:p>
            <w:pPr>
              <w:spacing w:line="264" w:lineRule="auto"/>
            </w:pPr>
            <w:r/>
            <w:r>
              <w:rPr>
                <w:rFonts w:ascii="游明朝" w:hAnsi="游明朝" w:eastAsia="游明朝"/>
                <w:color w:val="222222"/>
                <w:sz w:val="18"/>
              </w:rPr>
              <w:t>洪水</w:t>
            </w:r>
          </w:p>
        </w:tc>
        <w:tc>
          <w:tcPr>
            <w:tcW w:type="dxa" w:w="1474"/>
          </w:tcPr>
          <w:p>
            <w:pPr>
              <w:spacing w:line="264" w:lineRule="auto"/>
            </w:pPr>
            <w:r/>
            <w:r>
              <w:rPr>
                <w:rFonts w:ascii="游明朝" w:hAnsi="游明朝" w:eastAsia="游明朝"/>
                <w:color w:val="222222"/>
                <w:sz w:val="18"/>
              </w:rPr>
              <w:t>判定不能(駅800m圏外)</w:t>
            </w:r>
          </w:p>
        </w:tc>
        <w:tc>
          <w:tcPr>
            <w:tcW w:type="dxa" w:w="1928"/>
          </w:tcPr>
          <w:p>
            <w:pPr>
              <w:spacing w:line="264" w:lineRule="auto"/>
            </w:pPr>
            <w:r/>
            <w:r>
              <w:rPr>
                <w:rFonts w:ascii="游明朝" w:hAnsi="游明朝" w:eastAsia="游明朝"/>
                <w:color w:val="222222"/>
                <w:sz w:val="18"/>
              </w:rPr>
              <w:t>判定保留（高ランクだが洪水フラグ）</w:t>
            </w:r>
          </w:p>
        </w:tc>
      </w:tr>
      <w:tr>
        <w:tc>
          <w:tcPr>
            <w:tcW w:type="dxa" w:w="567"/>
          </w:tcPr>
          <w:p>
            <w:pPr>
              <w:spacing w:line="264" w:lineRule="auto"/>
            </w:pPr>
            <w:r/>
            <w:r>
              <w:rPr>
                <w:rFonts w:ascii="游明朝" w:hAnsi="游明朝" w:eastAsia="游明朝"/>
                <w:color w:val="222222"/>
                <w:sz w:val="18"/>
              </w:rPr>
              <w:t>⑬</w:t>
            </w:r>
          </w:p>
        </w:tc>
        <w:tc>
          <w:tcPr>
            <w:tcW w:type="dxa" w:w="1474"/>
          </w:tcPr>
          <w:p>
            <w:pPr>
              <w:spacing w:line="264" w:lineRule="auto"/>
            </w:pPr>
            <w:r/>
            <w:r>
              <w:rPr>
                <w:rFonts w:ascii="游明朝" w:hAnsi="游明朝" w:eastAsia="游明朝"/>
                <w:color w:val="222222"/>
                <w:sz w:val="18"/>
              </w:rPr>
              <w:t>十和田メゾントワダ</w:t>
            </w:r>
          </w:p>
        </w:tc>
        <w:tc>
          <w:tcPr>
            <w:tcW w:type="dxa" w:w="1134"/>
          </w:tcPr>
          <w:p>
            <w:pPr>
              <w:spacing w:line="264" w:lineRule="auto"/>
            </w:pPr>
            <w:r/>
            <w:r>
              <w:rPr>
                <w:rFonts w:ascii="游明朝" w:hAnsi="游明朝" w:eastAsia="游明朝"/>
                <w:color w:val="222222"/>
                <w:sz w:val="18"/>
              </w:rPr>
              <w:t>十和田市</w:t>
            </w:r>
          </w:p>
        </w:tc>
        <w:tc>
          <w:tcPr>
            <w:tcW w:type="dxa" w:w="1077"/>
          </w:tcPr>
          <w:p>
            <w:pPr>
              <w:spacing w:line="264" w:lineRule="auto"/>
            </w:pPr>
            <w:r/>
            <w:r>
              <w:rPr>
                <w:rFonts w:ascii="游明朝" w:hAnsi="游明朝" w:eastAsia="游明朝"/>
                <w:color w:val="222222"/>
                <w:sz w:val="18"/>
              </w:rPr>
              <w:t>60417136</w:t>
            </w:r>
          </w:p>
        </w:tc>
        <w:tc>
          <w:tcPr>
            <w:tcW w:type="dxa" w:w="907"/>
          </w:tcPr>
          <w:p>
            <w:pPr>
              <w:spacing w:line="264" w:lineRule="auto"/>
            </w:pPr>
            <w:r/>
            <w:r>
              <w:rPr>
                <w:rFonts w:ascii="游明朝" w:hAnsi="游明朝" w:eastAsia="游明朝"/>
                <w:color w:val="222222"/>
                <w:sz w:val="18"/>
              </w:rPr>
              <w:t>B 57.7</w:t>
            </w:r>
          </w:p>
        </w:tc>
        <w:tc>
          <w:tcPr>
            <w:tcW w:type="dxa" w:w="680"/>
          </w:tcPr>
          <w:p>
            <w:pPr>
              <w:spacing w:line="264" w:lineRule="auto"/>
            </w:pPr>
            <w:r/>
            <w:r>
              <w:rPr>
                <w:rFonts w:ascii="游明朝" w:hAnsi="游明朝" w:eastAsia="游明朝"/>
                <w:color w:val="222222"/>
                <w:sz w:val="18"/>
              </w:rPr>
              <w:t>―</w:t>
            </w:r>
          </w:p>
        </w:tc>
        <w:tc>
          <w:tcPr>
            <w:tcW w:type="dxa" w:w="1474"/>
          </w:tcPr>
          <w:p>
            <w:pPr>
              <w:spacing w:line="264" w:lineRule="auto"/>
            </w:pPr>
            <w:r/>
            <w:r>
              <w:rPr>
                <w:rFonts w:ascii="游明朝" w:hAnsi="游明朝" w:eastAsia="游明朝"/>
                <w:color w:val="222222"/>
                <w:sz w:val="18"/>
              </w:rPr>
              <w:t>都市機能誘導区域内</w:t>
            </w:r>
          </w:p>
        </w:tc>
        <w:tc>
          <w:tcPr>
            <w:tcW w:type="dxa" w:w="1928"/>
          </w:tcPr>
          <w:p>
            <w:pPr>
              <w:spacing w:line="264" w:lineRule="auto"/>
            </w:pPr>
            <w:r/>
            <w:r>
              <w:rPr>
                <w:rFonts w:ascii="游明朝" w:hAnsi="游明朝" w:eastAsia="游明朝"/>
                <w:color w:val="222222"/>
                <w:sz w:val="18"/>
              </w:rPr>
              <w:t>判定保留（市の天井=Bに張付き）</w:t>
            </w:r>
          </w:p>
        </w:tc>
      </w:tr>
      <w:tr>
        <w:tc>
          <w:tcPr>
            <w:tcW w:type="dxa" w:w="567"/>
          </w:tcPr>
          <w:p>
            <w:pPr>
              <w:spacing w:line="264" w:lineRule="auto"/>
            </w:pPr>
            <w:r/>
            <w:r>
              <w:rPr>
                <w:rFonts w:ascii="游明朝" w:hAnsi="游明朝" w:eastAsia="游明朝"/>
                <w:color w:val="222222"/>
                <w:sz w:val="18"/>
              </w:rPr>
              <w:t>⑭</w:t>
            </w:r>
          </w:p>
        </w:tc>
        <w:tc>
          <w:tcPr>
            <w:tcW w:type="dxa" w:w="1474"/>
          </w:tcPr>
          <w:p>
            <w:pPr>
              <w:spacing w:line="264" w:lineRule="auto"/>
            </w:pPr>
            <w:r/>
            <w:r>
              <w:rPr>
                <w:rFonts w:ascii="游明朝" w:hAnsi="游明朝" w:eastAsia="游明朝"/>
                <w:color w:val="222222"/>
                <w:sz w:val="18"/>
              </w:rPr>
              <w:t>南相馬MOMO</w:t>
            </w:r>
          </w:p>
        </w:tc>
        <w:tc>
          <w:tcPr>
            <w:tcW w:type="dxa" w:w="1134"/>
          </w:tcPr>
          <w:p>
            <w:pPr>
              <w:spacing w:line="264" w:lineRule="auto"/>
            </w:pPr>
            <w:r/>
            <w:r>
              <w:rPr>
                <w:rFonts w:ascii="游明朝" w:hAnsi="游明朝" w:eastAsia="游明朝"/>
                <w:color w:val="222222"/>
                <w:sz w:val="18"/>
              </w:rPr>
              <w:t>南相馬市</w:t>
            </w:r>
          </w:p>
        </w:tc>
        <w:tc>
          <w:tcPr>
            <w:tcW w:type="dxa" w:w="1077"/>
          </w:tcPr>
          <w:p>
            <w:pPr>
              <w:spacing w:line="264" w:lineRule="auto"/>
            </w:pPr>
            <w:r/>
            <w:r>
              <w:rPr>
                <w:rFonts w:ascii="游明朝" w:hAnsi="游明朝" w:eastAsia="游明朝"/>
                <w:color w:val="222222"/>
                <w:sz w:val="18"/>
              </w:rPr>
              <w:t>56403777</w:t>
            </w:r>
          </w:p>
        </w:tc>
        <w:tc>
          <w:tcPr>
            <w:tcW w:type="dxa" w:w="907"/>
          </w:tcPr>
          <w:p>
            <w:pPr>
              <w:spacing w:line="264" w:lineRule="auto"/>
            </w:pPr>
            <w:r/>
            <w:r>
              <w:rPr>
                <w:rFonts w:ascii="游明朝" w:hAnsi="游明朝" w:eastAsia="游明朝"/>
                <w:color w:val="222222"/>
                <w:sz w:val="18"/>
              </w:rPr>
              <w:t>B 57.4</w:t>
            </w:r>
          </w:p>
        </w:tc>
        <w:tc>
          <w:tcPr>
            <w:tcW w:type="dxa" w:w="680"/>
          </w:tcPr>
          <w:p>
            <w:pPr>
              <w:spacing w:line="264" w:lineRule="auto"/>
            </w:pPr>
            <w:r/>
            <w:r>
              <w:rPr>
                <w:rFonts w:ascii="游明朝" w:hAnsi="游明朝" w:eastAsia="游明朝"/>
                <w:color w:val="222222"/>
                <w:sz w:val="18"/>
              </w:rPr>
              <w:t>―</w:t>
            </w:r>
          </w:p>
        </w:tc>
        <w:tc>
          <w:tcPr>
            <w:tcW w:type="dxa" w:w="1474"/>
          </w:tcPr>
          <w:p>
            <w:pPr>
              <w:spacing w:line="264" w:lineRule="auto"/>
            </w:pPr>
            <w:r/>
            <w:r>
              <w:rPr>
                <w:rFonts w:ascii="游明朝" w:hAnsi="游明朝" w:eastAsia="游明朝"/>
                <w:color w:val="222222"/>
                <w:sz w:val="18"/>
              </w:rPr>
              <w:t>立適なし(FY2026策定中)</w:t>
            </w:r>
          </w:p>
        </w:tc>
        <w:tc>
          <w:tcPr>
            <w:tcW w:type="dxa" w:w="1928"/>
          </w:tcPr>
          <w:p>
            <w:pPr>
              <w:spacing w:line="264" w:lineRule="auto"/>
            </w:pPr>
            <w:r/>
            <w:r>
              <w:rPr>
                <w:rFonts w:ascii="游明朝" w:hAnsi="游明朝" w:eastAsia="游明朝"/>
                <w:color w:val="222222"/>
                <w:sz w:val="18"/>
              </w:rPr>
              <w:t>判定保留（区域未確定）</w:t>
            </w:r>
          </w:p>
        </w:tc>
      </w:tr>
      <w:tr>
        <w:tc>
          <w:tcPr>
            <w:tcW w:type="dxa" w:w="567"/>
          </w:tcPr>
          <w:p>
            <w:pPr>
              <w:spacing w:line="264" w:lineRule="auto"/>
            </w:pPr>
            <w:r/>
            <w:r>
              <w:rPr>
                <w:rFonts w:ascii="游明朝" w:hAnsi="游明朝" w:eastAsia="游明朝"/>
                <w:color w:val="222222"/>
                <w:sz w:val="18"/>
              </w:rPr>
              <w:t>⑪</w:t>
            </w:r>
          </w:p>
        </w:tc>
        <w:tc>
          <w:tcPr>
            <w:tcW w:type="dxa" w:w="1474"/>
          </w:tcPr>
          <w:p>
            <w:pPr>
              <w:spacing w:line="264" w:lineRule="auto"/>
            </w:pPr>
            <w:r/>
            <w:r>
              <w:rPr>
                <w:rFonts w:ascii="游明朝" w:hAnsi="游明朝" w:eastAsia="游明朝"/>
                <w:color w:val="222222"/>
                <w:sz w:val="18"/>
              </w:rPr>
              <w:t>花巻プリムローズ</w:t>
            </w:r>
          </w:p>
        </w:tc>
        <w:tc>
          <w:tcPr>
            <w:tcW w:type="dxa" w:w="1134"/>
          </w:tcPr>
          <w:p>
            <w:pPr>
              <w:spacing w:line="264" w:lineRule="auto"/>
            </w:pPr>
            <w:r/>
            <w:r>
              <w:rPr>
                <w:rFonts w:ascii="游明朝" w:hAnsi="游明朝" w:eastAsia="游明朝"/>
                <w:color w:val="222222"/>
                <w:sz w:val="18"/>
              </w:rPr>
              <w:t>花巻市</w:t>
            </w:r>
          </w:p>
        </w:tc>
        <w:tc>
          <w:tcPr>
            <w:tcW w:type="dxa" w:w="1077"/>
          </w:tcPr>
          <w:p>
            <w:pPr>
              <w:spacing w:line="264" w:lineRule="auto"/>
            </w:pPr>
            <w:r/>
            <w:r>
              <w:rPr>
                <w:rFonts w:ascii="游明朝" w:hAnsi="游明朝" w:eastAsia="游明朝"/>
                <w:color w:val="222222"/>
                <w:sz w:val="18"/>
              </w:rPr>
              <w:t>59411009</w:t>
            </w:r>
          </w:p>
        </w:tc>
        <w:tc>
          <w:tcPr>
            <w:tcW w:type="dxa" w:w="907"/>
          </w:tcPr>
          <w:p>
            <w:pPr>
              <w:spacing w:line="264" w:lineRule="auto"/>
            </w:pPr>
            <w:r/>
            <w:r>
              <w:rPr>
                <w:rFonts w:ascii="游明朝" w:hAnsi="游明朝" w:eastAsia="游明朝"/>
                <w:color w:val="222222"/>
                <w:sz w:val="18"/>
              </w:rPr>
              <w:t>A 59.0</w:t>
            </w:r>
          </w:p>
        </w:tc>
        <w:tc>
          <w:tcPr>
            <w:tcW w:type="dxa" w:w="680"/>
          </w:tcPr>
          <w:p>
            <w:pPr>
              <w:spacing w:line="264" w:lineRule="auto"/>
            </w:pPr>
            <w:r/>
            <w:r>
              <w:rPr>
                <w:rFonts w:ascii="游明朝" w:hAnsi="游明朝" w:eastAsia="游明朝"/>
                <w:color w:val="222222"/>
                <w:sz w:val="18"/>
              </w:rPr>
              <w:t>―</w:t>
            </w:r>
          </w:p>
        </w:tc>
        <w:tc>
          <w:tcPr>
            <w:tcW w:type="dxa" w:w="1474"/>
          </w:tcPr>
          <w:p>
            <w:pPr>
              <w:spacing w:line="264" w:lineRule="auto"/>
            </w:pPr>
            <w:r/>
            <w:r>
              <w:rPr>
                <w:rFonts w:ascii="游明朝" w:hAnsi="游明朝" w:eastAsia="游明朝"/>
                <w:color w:val="222222"/>
                <w:sz w:val="18"/>
              </w:rPr>
              <w:t>区域外</w:t>
            </w:r>
          </w:p>
        </w:tc>
        <w:tc>
          <w:tcPr>
            <w:tcW w:type="dxa" w:w="1928"/>
          </w:tcPr>
          <w:p>
            <w:pPr>
              <w:spacing w:line="264" w:lineRule="auto"/>
            </w:pPr>
            <w:r/>
            <w:r>
              <w:rPr>
                <w:rFonts w:ascii="游明朝" w:hAnsi="游明朝" w:eastAsia="游明朝"/>
                <w:color w:val="222222"/>
                <w:sz w:val="18"/>
              </w:rPr>
              <w:t>乖離：底堅（区域外なのにA）★</w:t>
            </w:r>
          </w:p>
        </w:tc>
      </w:tr>
      <w:tr>
        <w:tc>
          <w:tcPr>
            <w:tcW w:type="dxa" w:w="567"/>
          </w:tcPr>
          <w:p>
            <w:pPr>
              <w:spacing w:line="264" w:lineRule="auto"/>
            </w:pPr>
            <w:r/>
            <w:r>
              <w:rPr>
                <w:rFonts w:ascii="游明朝" w:hAnsi="游明朝" w:eastAsia="游明朝"/>
                <w:color w:val="222222"/>
                <w:sz w:val="18"/>
              </w:rPr>
              <w:t>⑧</w:t>
            </w:r>
          </w:p>
        </w:tc>
        <w:tc>
          <w:tcPr>
            <w:tcW w:type="dxa" w:w="1474"/>
          </w:tcPr>
          <w:p>
            <w:pPr>
              <w:spacing w:line="264" w:lineRule="auto"/>
            </w:pPr>
            <w:r/>
            <w:r>
              <w:rPr>
                <w:rFonts w:ascii="游明朝" w:hAnsi="游明朝" w:eastAsia="游明朝"/>
                <w:color w:val="222222"/>
                <w:sz w:val="18"/>
              </w:rPr>
              <w:t>宮城アーバン</w:t>
            </w:r>
          </w:p>
        </w:tc>
        <w:tc>
          <w:tcPr>
            <w:tcW w:type="dxa" w:w="1134"/>
          </w:tcPr>
          <w:p>
            <w:pPr>
              <w:spacing w:line="264" w:lineRule="auto"/>
            </w:pPr>
            <w:r/>
            <w:r>
              <w:rPr>
                <w:rFonts w:ascii="游明朝" w:hAnsi="游明朝" w:eastAsia="游明朝"/>
                <w:color w:val="222222"/>
                <w:sz w:val="18"/>
              </w:rPr>
              <w:t>村田町</w:t>
            </w:r>
          </w:p>
        </w:tc>
        <w:tc>
          <w:tcPr>
            <w:tcW w:type="dxa" w:w="1077"/>
          </w:tcPr>
          <w:p>
            <w:pPr>
              <w:spacing w:line="264" w:lineRule="auto"/>
            </w:pPr>
            <w:r/>
            <w:r>
              <w:rPr>
                <w:rFonts w:ascii="游明朝" w:hAnsi="游明朝" w:eastAsia="游明朝"/>
                <w:color w:val="222222"/>
                <w:sz w:val="18"/>
              </w:rPr>
              <w:t>57401547</w:t>
            </w:r>
          </w:p>
        </w:tc>
        <w:tc>
          <w:tcPr>
            <w:tcW w:type="dxa" w:w="907"/>
          </w:tcPr>
          <w:p>
            <w:pPr>
              <w:spacing w:line="264" w:lineRule="auto"/>
            </w:pPr>
            <w:r/>
            <w:r>
              <w:rPr>
                <w:rFonts w:ascii="游明朝" w:hAnsi="游明朝" w:eastAsia="游明朝"/>
                <w:color w:val="222222"/>
                <w:sz w:val="18"/>
              </w:rPr>
              <w:t>C 43.3</w:t>
            </w:r>
          </w:p>
        </w:tc>
        <w:tc>
          <w:tcPr>
            <w:tcW w:type="dxa" w:w="680"/>
          </w:tcPr>
          <w:p>
            <w:pPr>
              <w:spacing w:line="264" w:lineRule="auto"/>
            </w:pPr>
            <w:r/>
            <w:r>
              <w:rPr>
                <w:rFonts w:ascii="游明朝" w:hAnsi="游明朝" w:eastAsia="游明朝"/>
                <w:color w:val="222222"/>
                <w:sz w:val="18"/>
              </w:rPr>
              <w:t>―</w:t>
            </w:r>
          </w:p>
        </w:tc>
        <w:tc>
          <w:tcPr>
            <w:tcW w:type="dxa" w:w="1474"/>
          </w:tcPr>
          <w:p>
            <w:pPr>
              <w:spacing w:line="264" w:lineRule="auto"/>
            </w:pPr>
            <w:r/>
            <w:r>
              <w:rPr>
                <w:rFonts w:ascii="游明朝" w:hAnsi="游明朝" w:eastAsia="游明朝"/>
                <w:color w:val="222222"/>
                <w:sz w:val="18"/>
              </w:rPr>
              <w:t>立適なし(非該当)</w:t>
            </w:r>
          </w:p>
        </w:tc>
        <w:tc>
          <w:tcPr>
            <w:tcW w:type="dxa" w:w="1928"/>
          </w:tcPr>
          <w:p>
            <w:pPr>
              <w:spacing w:line="264" w:lineRule="auto"/>
            </w:pPr>
            <w:r/>
            <w:r>
              <w:rPr>
                <w:rFonts w:ascii="游明朝" w:hAnsi="游明朝" w:eastAsia="游明朝"/>
                <w:color w:val="222222"/>
                <w:sz w:val="18"/>
              </w:rPr>
              <w:t>一致：区域外/撤退×低（撤退適地）</w:t>
            </w:r>
          </w:p>
        </w:tc>
      </w:tr>
    </w:tbl>
    <w:p>
      <w:pPr>
        <w:spacing w:after="40" w:before="0" w:line="300" w:lineRule="auto"/>
      </w:pPr>
    </w:p>
    <w:p>
      <w:pPr>
        <w:spacing w:before="160" w:after="60"/>
      </w:pPr>
      <w:r>
        <w:rPr>
          <w:rFonts w:ascii="游ゴシック" w:hAnsi="游ゴシック" w:eastAsia="游ゴシック"/>
          <w:b/>
          <w:color w:val="0D3066"/>
          <w:sz w:val="23"/>
        </w:rPr>
        <w:t>乖離の2類型（線引きの空白）</w:t>
      </w:r>
    </w:p>
    <w:p>
      <w:pPr>
        <w:spacing w:after="60"/>
      </w:pPr>
      <w:r>
        <w:rPr>
          <w:rFonts w:ascii="游ゴシック" w:hAnsi="游ゴシック" w:eastAsia="游ゴシック"/>
          <w:b/>
          <w:color w:val="1A5FB4"/>
          <w:sz w:val="20"/>
        </w:rPr>
        <w:t>① 取りこぼし型（区域外×A）：</w:t>
      </w:r>
      <w:r>
        <w:rPr>
          <w:rFonts w:ascii="游明朝" w:hAnsi="游明朝" w:eastAsia="游明朝"/>
          <w:color w:val="222222"/>
          <w:sz w:val="20"/>
        </w:rPr>
        <w:t>⑪花巻プリムローズ。花巻市全体は特S+A率8%と低いなか、当該メッシュはA59.0＝市内の数少ない強メッシュ。居住誘導区域がこの強メッシュを区域外に取りこぼした可能性を示す。区域外＝即・撤退ではない好例。</w:t>
      </w:r>
    </w:p>
    <w:p>
      <w:pPr>
        <w:spacing w:after="120"/>
      </w:pPr>
      <w:r>
        <w:rPr>
          <w:rFonts w:ascii="游ゴシック" w:hAnsi="游ゴシック" w:eastAsia="游ゴシック"/>
          <w:b/>
          <w:color w:val="C0392B"/>
          <w:sz w:val="20"/>
        </w:rPr>
        <w:t>② 無指定型（立適なし×C）：</w:t>
      </w:r>
      <w:r>
        <w:rPr>
          <w:rFonts w:ascii="游明朝" w:hAnsi="游明朝" w:eastAsia="游明朝"/>
          <w:color w:val="222222"/>
          <w:sz w:val="20"/>
        </w:rPr>
        <w:t>⑧宮城アーバン（村田町）。立適計画そのものが存在せず、メッシュもC43.3。データ上“結果整合”だが、これは政策が当てたのではなく政策が不在なだけ——住民・大家にとって誘導区域という資産防衛線が存在しない。</w:t>
      </w:r>
    </w:p>
    <w:p>
      <w:pPr>
        <w:spacing w:after="120" w:before="0" w:line="300" w:lineRule="auto"/>
      </w:pPr>
      <w:r>
        <w:rPr>
          <w:rFonts w:ascii="游明朝" w:hAnsi="游明朝" w:eastAsia="游明朝"/>
          <w:b w:val="0"/>
          <w:i w:val="0"/>
          <w:color w:val="666666"/>
          <w:sz w:val="19"/>
        </w:rPr>
        <w:t>なお『区域内×低ランクC』の隠れリスクは本9物件には不在（区域内の純粋4件 ④⑦⑨⑮ は全てA以上）。ただしこれは現状確認であって免罪ではない。</w:t>
      </w:r>
    </w:p>
    <w:p>
      <w:pPr>
        <w:spacing w:before="280" w:after="120"/>
        <w:pBdr>
          <w:bottom w:val="single" w:sz="6" w:space="4" w:color="1A5FB4"/>
        </w:pBdr>
      </w:pPr>
      <w:r>
        <w:rPr>
          <w:rFonts w:ascii="游ゴシック" w:hAnsi="游ゴシック" w:eastAsia="游ゴシック"/>
          <w:b/>
          <w:color w:val="1A5FB4"/>
          <w:sz w:val="28"/>
        </w:rPr>
        <w:t>第5章　MVV框組との接続</w:t>
      </w:r>
    </w:p>
    <w:p>
      <w:pPr>
        <w:spacing w:after="120" w:before="0" w:line="300" w:lineRule="auto"/>
      </w:pPr>
      <w:r>
        <w:rPr>
          <w:rFonts w:ascii="游明朝" w:hAnsi="游明朝" w:eastAsia="游明朝"/>
          <w:b w:val="0"/>
          <w:i w:val="0"/>
          <w:color w:val="222222"/>
          <w:sz w:val="21"/>
        </w:rPr>
        <w:t>本監査は、当社MVV策定の評価哲学と構造的同型性で接続する。MVV設計書の『スコアは人口増減でなく〈人口が減っても賃貸需要と生活機能が残るか〉を見る』という向きは、本研究の残存力スコアと完全に一致する。MVVの7カテゴリ×100点（人口20＋住宅20＋雇用18＋都市機能15＋交通12＋財政8＋災害7）は残存力の多変数分解そのものであり、上位3カテゴリ計58点（人が留まる/住み続ける/働く）が本研究の中核変数群と一致する。</w:t>
      </w:r>
    </w:p>
    <w:p>
      <w:pPr>
        <w:spacing w:after="120" w:before="0" w:line="300" w:lineRule="auto"/>
      </w:pPr>
      <w:r>
        <w:rPr>
          <w:rFonts w:ascii="游明朝" w:hAnsi="游明朝" w:eastAsia="游明朝"/>
          <w:b w:val="0"/>
          <w:i w:val="0"/>
          <w:color w:val="222222"/>
          <w:sz w:val="21"/>
        </w:rPr>
        <w:t>『光る市町村（核隣接×工業立地が人を留める）』の実証は、雇用カテゴリ18点の操作化にあたる。⑨弘前ウェストヒル（弘前学院大前駅至近＝大学核隣接）が区域内×A67.6で一致する事実が、この框組の妥当性を例示する。また災害カテゴリ7点はメッシュ単位ハザードと直結し、⑫郡山のflags＝洪水がその実例である。</w:t>
      </w:r>
    </w:p>
    <w:p>
      <w:pPr>
        <w:spacing w:before="280" w:after="120"/>
        <w:pBdr>
          <w:bottom w:val="single" w:sz="6" w:space="4" w:color="1A5FB4"/>
        </w:pBdr>
      </w:pPr>
      <w:r>
        <w:rPr>
          <w:rFonts w:ascii="游ゴシック" w:hAnsi="游ゴシック" w:eastAsia="游ゴシック"/>
          <w:b/>
          <w:color w:val="1A5FB4"/>
          <w:sz w:val="28"/>
        </w:rPr>
        <w:t>第6章　夕張という ground-truth</w:t>
      </w:r>
    </w:p>
    <w:p>
      <w:pPr>
        <w:spacing w:after="120" w:before="0" w:line="300" w:lineRule="auto"/>
      </w:pPr>
      <w:r>
        <w:rPr>
          <w:rFonts w:ascii="游明朝" w:hAnsi="游明朝" w:eastAsia="游明朝"/>
          <w:b w:val="0"/>
          <w:i w:val="0"/>
          <w:color w:val="222222"/>
          <w:sz w:val="21"/>
        </w:rPr>
        <w:t>夕張（清水沢集約）は本研究の定量サンプルではなく、定性的アンカー＝『100点の答案』として機能する。夕張は2007年の財政破綻後、全国に先駆けて managed shrinkage を都市政策の正面に据え、居住誘導区域を清水沢へ集約し既成市街地の約7割を区域外に置いた。重要なのは、この行政の線引きが人口移動・空き家化という“データ側の残存力”と設計段階から高整合で引かれた点である。</w:t>
      </w:r>
    </w:p>
    <w:p>
      <w:pPr>
        <w:spacing w:after="120" w:before="0" w:line="300" w:lineRule="auto"/>
      </w:pPr>
      <w:r>
        <w:rPr>
          <w:rFonts w:ascii="游明朝" w:hAnsi="游明朝" w:eastAsia="游明朝"/>
          <w:b w:val="0"/>
          <w:i w:val="0"/>
          <w:color w:val="222222"/>
          <w:sz w:val="21"/>
        </w:rPr>
        <w:t>夕張は北海道で東北アトラスのカバレッジ外＝同一指標空間での統計比較はできない。よって夕張は『政策とデータが一致した極限ケースとは具体的にどういう都市か』を定義づける参照枠に留め、東北の監査結果を“夕張という到達点からの距離（乖離度）”として読む。⑧村田町（立適を持たない縮小都市）は、夕張の対極の具体例である。</w:t>
      </w:r>
    </w:p>
    <w:p>
      <w:pPr>
        <w:spacing w:before="280" w:after="120"/>
        <w:pBdr>
          <w:bottom w:val="single" w:sz="6" w:space="4" w:color="1A5FB4"/>
        </w:pBdr>
      </w:pPr>
      <w:r>
        <w:rPr>
          <w:rFonts w:ascii="游ゴシック" w:hAnsi="游ゴシック" w:eastAsia="游ゴシック"/>
          <w:b/>
          <w:color w:val="1A5FB4"/>
          <w:sz w:val="28"/>
        </w:rPr>
        <w:t>第7章　考察 ― 線引きの空白こそが論点</w:t>
      </w:r>
    </w:p>
    <w:p>
      <w:pPr>
        <w:spacing w:after="120" w:before="0" w:line="300" w:lineRule="auto"/>
      </w:pPr>
      <w:r>
        <w:rPr>
          <w:rFonts w:ascii="游明朝" w:hAnsi="游明朝" w:eastAsia="游明朝"/>
          <w:b w:val="0"/>
          <w:i w:val="0"/>
          <w:color w:val="222222"/>
          <w:sz w:val="21"/>
        </w:rPr>
        <w:t>政策の線引きとデータの線引きはズレるとき、2方向にズレる。第一は無指定型（線引きがない）：村田町のように立適計画自体を持たず、縮退に対するセーフティネットを欠く。第二は取りこぼし型（線引きがデータとズレる）：花巻のように区域外なのにA＝市内の強メッシュを取りこぼす。</w:t>
      </w:r>
    </w:p>
    <w:p>
      <w:pPr>
        <w:spacing w:after="120" w:before="0" w:line="300" w:lineRule="auto"/>
      </w:pPr>
      <w:r>
        <w:rPr>
          <w:rFonts w:ascii="游明朝" w:hAnsi="游明朝" w:eastAsia="游明朝"/>
          <w:b w:val="0"/>
          <w:i w:val="0"/>
          <w:color w:val="222222"/>
          <w:sz w:val="21"/>
        </w:rPr>
        <w:t>政策含意は明確だ。(a) 立適のない自治体（村田町・FY2026策定中の南相馬等）は、行政区域線ではなくメッシュ残存力データを撤退判断の補助線として持つべき。(b) 区域線引きを持つ自治体も、区域外の隠れた強メッシュ（花巻型）を区域編入の再検討候補として監査すべき。(c) A50が2020年度版に留まる以上、区域の鮮度監査（2021年以降の変更反映）が政策側にも必要。総じて『線引きが残存力をよく当てている』という肯定的結論は、線引きが存在する場所に限った話であり、線引きの空白こそが次の論点である。</w:t>
      </w:r>
    </w:p>
    <w:p>
      <w:pPr>
        <w:spacing w:before="280" w:after="120"/>
        <w:pBdr>
          <w:bottom w:val="single" w:sz="6" w:space="4" w:color="1A5FB4"/>
        </w:pBdr>
      </w:pPr>
      <w:r>
        <w:rPr>
          <w:rFonts w:ascii="游ゴシック" w:hAnsi="游ゴシック" w:eastAsia="游ゴシック"/>
          <w:b/>
          <w:color w:val="1A5FB4"/>
          <w:sz w:val="28"/>
        </w:rPr>
        <w:t>第8章　賃貸経営インサイト ― 取得基準の第6軸</w:t>
      </w:r>
    </w:p>
    <w:p>
      <w:pPr>
        <w:spacing w:before="160" w:after="60"/>
      </w:pPr>
      <w:r>
        <w:rPr>
          <w:rFonts w:ascii="游ゴシック" w:hAnsi="游ゴシック" w:eastAsia="游ゴシック"/>
          <w:b/>
          <w:color w:val="0D3066"/>
          <w:sz w:val="23"/>
        </w:rPr>
        <w:t>① 取得基準に第6軸＝メッシュ残存力ランク／雇用核徒歩圏を追加</w:t>
      </w:r>
    </w:p>
    <w:p>
      <w:pPr>
        <w:spacing w:after="120" w:before="0" w:line="300" w:lineRule="auto"/>
      </w:pPr>
      <w:r>
        <w:rPr>
          <w:rFonts w:ascii="游明朝" w:hAnsi="游明朝" w:eastAsia="游明朝"/>
          <w:b w:val="0"/>
          <w:i w:val="0"/>
          <w:color w:val="222222"/>
          <w:sz w:val="20"/>
        </w:rPr>
        <w:t>利回り・LTV・DSCR・築年/構造・駅距離に加え、物件座標の1kmメッシュ残存力ランクを第6軸に。区域内×A以上=底固め（④⑦⑨⑮）、区域外×A=底堅で割安取得余地（⑪花巻型・市内希少強メッシュの先取り）、区域内×B/C=隠れリスクとして要警戒。</w:t>
      </w:r>
    </w:p>
    <w:p>
      <w:pPr>
        <w:spacing w:before="160" w:after="60"/>
      </w:pPr>
      <w:r>
        <w:rPr>
          <w:rFonts w:ascii="游ゴシック" w:hAnsi="游ゴシック" w:eastAsia="游ゴシック"/>
          <w:b/>
          <w:color w:val="0D3066"/>
          <w:sz w:val="23"/>
        </w:rPr>
        <w:t>② 立適のない縮小都市では、行政の線引きを当てにせずメッシュデータを独自基準に</w:t>
      </w:r>
    </w:p>
    <w:p>
      <w:pPr>
        <w:spacing w:after="120" w:before="0" w:line="300" w:lineRule="auto"/>
      </w:pPr>
      <w:r>
        <w:rPr>
          <w:rFonts w:ascii="游明朝" w:hAnsi="游明朝" w:eastAsia="游明朝"/>
          <w:b w:val="0"/>
          <w:i w:val="0"/>
          <w:color w:val="222222"/>
          <w:sz w:val="20"/>
        </w:rPr>
        <w:t>村田町・南相馬のように居住誘導区域が存在しない都市では“区域内=資産防衛線”の前提が使えない。市全体の特S+A率（村田0%/南相馬1%/十和田0%）を都市の天井指標として用い、中心拠点でもBが上限の都市は保有規模を抑制する。</w:t>
      </w:r>
    </w:p>
    <w:p>
      <w:pPr>
        <w:spacing w:before="160" w:after="60"/>
      </w:pPr>
      <w:r>
        <w:rPr>
          <w:rFonts w:ascii="游ゴシック" w:hAnsi="游ゴシック" w:eastAsia="游ゴシック"/>
          <w:b/>
          <w:color w:val="0D3066"/>
          <w:sz w:val="23"/>
        </w:rPr>
        <w:t>③ 区域内でも『市の天井』を超えられない物件は、区域指定を過信しない</w:t>
      </w:r>
    </w:p>
    <w:p>
      <w:pPr>
        <w:spacing w:after="120" w:before="0" w:line="300" w:lineRule="auto"/>
      </w:pPr>
      <w:r>
        <w:rPr>
          <w:rFonts w:ascii="游明朝" w:hAnsi="游明朝" w:eastAsia="游明朝"/>
          <w:b w:val="0"/>
          <w:i w:val="0"/>
          <w:color w:val="222222"/>
          <w:sz w:val="20"/>
        </w:rPr>
        <w:t>⑬十和田は都市機能誘導区域内（中心拠点）だがB57.7＝市の天井に張り付く。区域指定の有無より『区域内ランクの絶対水準』と『市全体の特S+A率』の両方を見る。</w:t>
      </w:r>
    </w:p>
    <w:p>
      <w:pPr>
        <w:spacing w:before="160" w:after="60"/>
      </w:pPr>
      <w:r>
        <w:rPr>
          <w:rFonts w:ascii="游ゴシック" w:hAnsi="游ゴシック" w:eastAsia="游ゴシック"/>
          <w:b/>
          <w:color w:val="0D3066"/>
          <w:sz w:val="23"/>
        </w:rPr>
        <w:t>④ ハザードフラグはメッシュランクと別軸で必ず併読する</w:t>
      </w:r>
    </w:p>
    <w:p>
      <w:pPr>
        <w:spacing w:after="120" w:before="0" w:line="300" w:lineRule="auto"/>
      </w:pPr>
      <w:r>
        <w:rPr>
          <w:rFonts w:ascii="游明朝" w:hAnsi="游明朝" w:eastAsia="游明朝"/>
          <w:b w:val="0"/>
          <w:i w:val="0"/>
          <w:color w:val="222222"/>
          <w:sz w:val="20"/>
        </w:rPr>
        <w:t>⑫郡山はA69.2（郡山市は特S+A率64%の高残存力）だがflags＝洪水。高ランク=安全ではない。残存力ランクが高くてもハザード付きメッシュは保険・修繕・出口で割り引いて評価する。</w:t>
      </w:r>
    </w:p>
    <w:p>
      <w:pPr>
        <w:spacing w:before="280" w:after="120"/>
        <w:pBdr>
          <w:bottom w:val="single" w:sz="6" w:space="4" w:color="1A5FB4"/>
        </w:pBdr>
      </w:pPr>
      <w:r>
        <w:rPr>
          <w:rFonts w:ascii="游ゴシック" w:hAnsi="游ゴシック" w:eastAsia="游ゴシック"/>
          <w:b/>
          <w:color w:val="1A5FB4"/>
          <w:sz w:val="28"/>
        </w:rPr>
        <w:t>第9章　限界</w:t>
      </w:r>
    </w:p>
    <w:p>
      <w:pPr>
        <w:pStyle w:val="ListBullet"/>
        <w:spacing w:after="40" w:line="288" w:lineRule="auto"/>
      </w:pPr>
      <w:r>
        <w:rPr>
          <w:rFonts w:ascii="游明朝" w:hAnsi="游明朝" w:eastAsia="游明朝"/>
          <w:color w:val="222222"/>
          <w:sz w:val="21"/>
        </w:rPr>
        <w:t>米沢市・南相馬市は国土数値情報A50-2020に立適区域が未収録で都市レベル判定不能（“区域なし”でなく“データセット未収録”）。市オープンデータGeoJSON/計画書PDF附図のジオリファレンスは本runの自動取得範囲外。</w:t>
      </w:r>
    </w:p>
    <w:p>
      <w:pPr>
        <w:pStyle w:val="ListBullet"/>
        <w:spacing w:after="40" w:line="288" w:lineRule="auto"/>
      </w:pPr>
      <w:r>
        <w:rPr>
          <w:rFonts w:ascii="游明朝" w:hAnsi="游明朝" w:eastAsia="游明朝"/>
          <w:color w:val="222222"/>
          <w:sz w:val="21"/>
        </w:rPr>
        <w:t>A50最新が2020年度版のため2021年以降の区域変更は未反映。区域内に入る当社メッシュは6〜32件と少ない（誘導区域が中心市街地に局在）が、in/out差は全6市一貫で頑健。</w:t>
      </w:r>
    </w:p>
    <w:p>
      <w:pPr>
        <w:pStyle w:val="ListBullet"/>
        <w:spacing w:after="40" w:line="288" w:lineRule="auto"/>
      </w:pPr>
      <w:r>
        <w:rPr>
          <w:rFonts w:ascii="游明朝" w:hAnsi="游明朝" w:eastAsia="游明朝"/>
          <w:color w:val="222222"/>
          <w:sz w:val="21"/>
        </w:rPr>
        <w:t>仙台市はアトラスがmuni_code04215一括510メッシュで青葉区単独集計不可。物件座標はジオコーディング推定を含む（⑮仙台＝町丁未特定の代表座標、判明すれば別メッシュに動きうる）。</w:t>
      </w:r>
    </w:p>
    <w:p>
      <w:pPr>
        <w:pStyle w:val="ListBullet"/>
        <w:spacing w:after="40" w:line="288" w:lineRule="auto"/>
      </w:pPr>
      <w:r>
        <w:rPr>
          <w:rFonts w:ascii="游明朝" w:hAnsi="游明朝" w:eastAsia="游明朝"/>
          <w:color w:val="222222"/>
          <w:sz w:val="21"/>
        </w:rPr>
        <w:t>夕張は東北アトラス対象外のため定量比較不可、定性アンカーに留める。本稿は当社内部の研究記録であり投資助言ではない。推定箇所はすべて推定と明記した。</w:t>
      </w:r>
    </w:p>
    <w:p>
      <w:pPr>
        <w:spacing w:before="280" w:after="120"/>
        <w:pBdr>
          <w:bottom w:val="single" w:sz="6" w:space="4" w:color="1A5FB4"/>
        </w:pBdr>
      </w:pPr>
      <w:r>
        <w:rPr>
          <w:rFonts w:ascii="游ゴシック" w:hAnsi="游ゴシック" w:eastAsia="游ゴシック"/>
          <w:b/>
          <w:color w:val="1A5FB4"/>
          <w:sz w:val="28"/>
        </w:rPr>
        <w:t>第10章　結論</w:t>
      </w:r>
    </w:p>
    <w:p>
      <w:pPr>
        <w:spacing w:after="120" w:before="0" w:line="300" w:lineRule="auto"/>
      </w:pPr>
      <w:r>
        <w:rPr>
          <w:rFonts w:ascii="游明朝" w:hAnsi="游明朝" w:eastAsia="游明朝"/>
          <w:b w:val="0"/>
          <w:i w:val="0"/>
          <w:color w:val="222222"/>
          <w:sz w:val="21"/>
        </w:rPr>
        <w:t>立地適正化計画は、ポリゴンを取得できた東北6市すべてで「残る場所」を概ね当てていた。政策の線引き（居住誘導区域）とデータの線引き（メッシュ残存力ランク）は整合方向に揃い（区域内平均＞区域外が全6市・差+8.8〜+16.2点、5市で区域内C=ゼロ）、夕張という ground-truth が示す『政策＝データの一致』が東北でも再現された。</w:t>
      </w:r>
    </w:p>
    <w:p>
      <w:pPr>
        <w:spacing w:after="120" w:before="0" w:line="300" w:lineRule="auto"/>
      </w:pPr>
      <w:r>
        <w:rPr>
          <w:rFonts w:ascii="游明朝" w:hAnsi="游明朝" w:eastAsia="游明朝"/>
          <w:b w:val="0"/>
          <w:i w:val="0"/>
          <w:color w:val="222222"/>
          <w:sz w:val="21"/>
        </w:rPr>
        <w:t>しかしこの肯定的結論は、線引きが存在する場所に限られる。当社9物件のクロス監査は線引きの空白を物件名つきで可視化した——⑪花巻（区域外×A＝取りこぼし）と⑧村田町（線引きそのものが不在）。縮小都市の大家にとっての帰結は明快だ。行政の線引きがある都市ではそれを資産防衛線として尊重しつつ、線引きの空白では『メッシュ残存力』という第6軸を自ら持つこと。区域指定の有無・区域内ランクの絶対水準・市全体の特S+A率・ハザードフラグを併読する監査を、取得基準に常設する。</w:t>
      </w:r>
    </w:p>
    <w:p>
      <w:pPr>
        <w:spacing w:before="280" w:after="120"/>
        <w:pBdr>
          <w:bottom w:val="single" w:sz="6" w:space="4" w:color="1A5FB4"/>
        </w:pBdr>
      </w:pPr>
      <w:r>
        <w:rPr>
          <w:rFonts w:ascii="游ゴシック" w:hAnsi="游ゴシック" w:eastAsia="游ゴシック"/>
          <w:b/>
          <w:color w:val="1A5FB4"/>
          <w:sz w:val="28"/>
        </w:rPr>
        <w:t>データ・出典</w:t>
      </w:r>
    </w:p>
    <w:p>
      <w:pPr>
        <w:pStyle w:val="ListBullet"/>
        <w:spacing w:after="40" w:line="288" w:lineRule="auto"/>
      </w:pPr>
      <w:r>
        <w:rPr>
          <w:rFonts w:ascii="游明朝" w:hAnsi="游明朝" w:eastAsia="游明朝"/>
          <w:color w:val="222222"/>
          <w:sz w:val="18"/>
        </w:rPr>
        <w:t>東北6県居住メッシュ格付けアトラス（あっぷるキャピタル PJ01-04、mesh_atlas.csv 28,207メッシュ、3層合成スコア）</w:t>
      </w:r>
    </w:p>
    <w:p>
      <w:pPr>
        <w:pStyle w:val="ListBullet"/>
        <w:spacing w:after="40" w:line="288" w:lineRule="auto"/>
      </w:pPr>
      <w:r>
        <w:rPr>
          <w:rFonts w:ascii="游明朝" w:hAnsi="游明朝" w:eastAsia="游明朝"/>
          <w:color w:val="222222"/>
          <w:sz w:val="18"/>
        </w:rPr>
        <w:t>国土数値情報 A50 立地適正化計画区域（2020年度版、居住誘導区域 属性A50_006=2）／国土交通省 nlftp.mlit.go.jp</w:t>
      </w:r>
    </w:p>
    <w:p>
      <w:pPr>
        <w:pStyle w:val="ListBullet"/>
        <w:spacing w:after="40" w:line="288" w:lineRule="auto"/>
      </w:pPr>
      <w:r>
        <w:rPr>
          <w:rFonts w:ascii="游明朝" w:hAnsi="游明朝" w:eastAsia="游明朝"/>
          <w:color w:val="222222"/>
          <w:sz w:val="18"/>
        </w:rPr>
        <w:t>夕張市 立地適正化計画・コンパクトシティ構想（ACRI② 夕張研究）</w:t>
      </w:r>
    </w:p>
    <w:p>
      <w:pPr>
        <w:pStyle w:val="ListBullet"/>
        <w:spacing w:after="40" w:line="288" w:lineRule="auto"/>
      </w:pPr>
      <w:r>
        <w:rPr>
          <w:rFonts w:ascii="游明朝" w:hAnsi="游明朝" w:eastAsia="游明朝"/>
          <w:color w:val="222222"/>
          <w:sz w:val="18"/>
        </w:rPr>
        <w:t>グループMVV策定PJ（PJ00-02）：7カテゴリ×100点 都市体力スコア・社人研2050指数・光る市町村</w:t>
      </w:r>
    </w:p>
    <w:p>
      <w:pPr>
        <w:pStyle w:val="ListBullet"/>
        <w:spacing w:after="40" w:line="288" w:lineRule="auto"/>
      </w:pPr>
      <w:r>
        <w:rPr>
          <w:rFonts w:ascii="游明朝" w:hAnsi="游明朝" w:eastAsia="游明朝"/>
          <w:color w:val="222222"/>
          <w:sz w:val="18"/>
        </w:rPr>
        <w:t>社人研 日本の地域別将来推計人口（令和5年推計）</w:t>
      </w:r>
    </w:p>
    <w:p>
      <w:pPr>
        <w:spacing w:after="120" w:before="160" w:line="300" w:lineRule="auto"/>
      </w:pPr>
    </w:p>
    <w:p>
      <w:pPr>
        <w:jc w:val="center"/>
      </w:pPr>
      <w:r>
        <w:rPr>
          <w:rFonts w:ascii="游明朝" w:hAnsi="游明朝" w:eastAsia="游明朝"/>
          <w:color w:val="666666"/>
          <w:sz w:val="17"/>
        </w:rPr>
        <w:t>※ 本稿は不動産・経済の調査研究であり、特定の投資判断を推奨するものではありません（投資助言ではありません）。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