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游ゴシック" w:hAnsi="游ゴシック" w:eastAsia="游ゴシック"/>
          <w:b/>
          <w:color w:val="1F8A70"/>
          <w:sz w:val="22"/>
        </w:rPr>
        <w:t>あっぷる総研  ACRI  Research Paper ②</w:t>
      </w:r>
    </w:p>
    <w:p>
      <w:pPr>
        <w:spacing w:after="80" w:before="0" w:line="300" w:lineRule="auto"/>
      </w:pPr>
    </w:p>
    <w:p>
      <w:pPr>
        <w:jc w:val="center"/>
      </w:pPr>
      <w:r>
        <w:rPr>
          <w:rFonts w:ascii="游ゴシック" w:hAnsi="游ゴシック" w:eastAsia="游ゴシック"/>
          <w:b/>
          <w:color w:val="222222"/>
          <w:sz w:val="48"/>
        </w:rPr>
        <w:t>夕張コンパクトシティの経済学</w:t>
      </w:r>
    </w:p>
    <w:p>
      <w:pPr>
        <w:jc w:val="center"/>
      </w:pPr>
      <w:r>
        <w:rPr>
          <w:rFonts w:ascii="游ゴシック" w:hAnsi="游ゴシック" w:eastAsia="游ゴシック"/>
          <w:color w:val="666666"/>
          <w:sz w:val="26"/>
        </w:rPr>
        <w:t>― 居住集約マップと、縮小都市の賃貸経営戦略 ―</w:t>
      </w:r>
    </w:p>
    <w:p/>
    <w:p/>
    <w:p>
      <w:pPr>
        <w:jc w:val="center"/>
      </w:pPr>
      <w:r>
        <w:rPr>
          <w:rFonts w:ascii="游明朝" w:hAnsi="游明朝" w:eastAsia="游明朝"/>
          <w:i/>
          <w:color w:val="1F8A70"/>
          <w:sz w:val="22"/>
        </w:rPr>
        <w:t>行政が市街地の約7割を「居住誘導区域の外」に置いた瞬間、</w:t>
        <w:br/>
        <w:t>そこの賃貸資産には20年の賞味期限がつく。</w:t>
      </w:r>
    </w:p>
    <w:p/>
    <w:p/>
    <w:p/>
    <w:p/>
    <w:p/>
    <w:p>
      <w:pPr>
        <w:jc w:val="center"/>
      </w:pPr>
      <w:r>
        <w:rPr>
          <w:rFonts w:ascii="游明朝" w:hAnsi="游明朝" w:eastAsia="游明朝"/>
          <w:color w:val="666666"/>
          <w:sz w:val="22"/>
        </w:rPr>
        <w:t>あっぷるキャピタルグループ／あっぷる総研（ACRI）</w:t>
      </w:r>
    </w:p>
    <w:p>
      <w:pPr>
        <w:jc w:val="center"/>
      </w:pPr>
      <w:r>
        <w:rPr>
          <w:rFonts w:ascii="游明朝" w:hAnsi="游明朝" w:eastAsia="游明朝"/>
          <w:color w:val="666666"/>
          <w:sz w:val="20"/>
        </w:rPr>
        <w:t>主任研究員　川上 美咲　／　オーケストレーション　桐島 渉（IT推進部）</w:t>
      </w:r>
    </w:p>
    <w:p>
      <w:pPr>
        <w:jc w:val="center"/>
      </w:pPr>
      <w:r>
        <w:rPr>
          <w:rFonts w:ascii="游明朝" w:hAnsi="游明朝" w:eastAsia="游明朝"/>
          <w:color w:val="666666"/>
          <w:sz w:val="20"/>
        </w:rPr>
        <w:t>2026年6月21日　PJ00-05 / ACRI②</w:t>
      </w:r>
    </w:p>
    <w:p>
      <w:r>
        <w:br w:type="page"/>
      </w:r>
    </w:p>
    <w:p>
      <w:pPr>
        <w:spacing w:before="280" w:after="120"/>
        <w:pBdr>
          <w:bottom w:val="single" w:sz="6" w:space="4" w:color="1F8A70"/>
        </w:pBdr>
      </w:pPr>
      <w:r>
        <w:rPr>
          <w:rFonts w:ascii="游ゴシック" w:hAnsi="游ゴシック" w:eastAsia="游ゴシック"/>
          <w:b/>
          <w:color w:val="1F8A70"/>
          <w:sz w:val="28"/>
        </w:rPr>
        <w:t>要旨（Abstract）</w:t>
      </w:r>
    </w:p>
    <w:p>
      <w:pPr>
        <w:spacing w:after="120" w:before="0" w:line="300" w:lineRule="auto"/>
      </w:pPr>
      <w:r>
        <w:rPr>
          <w:rFonts w:ascii="游明朝" w:hAnsi="游明朝" w:eastAsia="游明朝"/>
          <w:b w:val="0"/>
          <w:i w:val="0"/>
          <w:color w:val="222222"/>
          <w:sz w:val="21"/>
        </w:rPr>
        <w:t>夕張市は、石炭産業の衰退と2007年の財政破綻を経て、人口がピーク（1960年 107,972人）の約1/20（2026年6月 5,699人）まで縮小した、日本の縮小都市（スマートシュリンク）の最前線である。本稿は「夕張で居住エリアとして整備されるのはどの地域か」を公的一次資料で確定し、人口縮小フェーズに入る他の地方都市での不動産賃貸経営戦略へのインサイトを抽出する。</w:t>
      </w:r>
    </w:p>
    <w:p>
      <w:pPr>
        <w:spacing w:after="120" w:before="0" w:line="300" w:lineRule="auto"/>
      </w:pPr>
      <w:r>
        <w:rPr>
          <w:rFonts w:ascii="游明朝" w:hAnsi="游明朝" w:eastAsia="游明朝"/>
          <w:b w:val="0"/>
          <w:i w:val="0"/>
          <w:color w:val="222222"/>
          <w:sz w:val="21"/>
        </w:rPr>
        <w:t>結論として、居住集約の中心市街地は清水沢（とりわけ南清水沢）地区である。2012年のまちづくりマスタープランは清水沢を唯一の「都市拠点」と定め、2021年の立地適正化計画（都市再生特別措置法に基づく法定計画）でこれを「2骨格軸・3拠点（若菜・清水沢・紅葉山）」へ更新したが、清水沢は現在も唯一の『市の中心＝都市拠点』である。市は居住誘導区域を用途地域の約28.7%（296.9ha）に絞り、旧行政中心の本町を含む4地区を『地域再編地区』＝新規居住の抑制側に置いた。集約は強制移転ではなく、①法定区域指定、②公営住宅（全世帯の約4割）の集約・除却、③拠点核施設（拠点複合施設「りすた」・医療・教育）による求心力、という多層的・漸進的な誘導（managed shrinkage）で作動している。本稿はこれを8つの賃貸経営インサイトに一般化し、北海道・東北を中心に地方賃貸を運用する当社ポートフォリオへの適用とリスクを示す。</w:t>
      </w:r>
    </w:p>
    <w:p>
      <w:pPr>
        <w:spacing w:after="120" w:before="0" w:line="300" w:lineRule="auto"/>
      </w:pPr>
      <w:r>
        <w:rPr>
          <w:rFonts w:ascii="游明朝" w:hAnsi="游明朝" w:eastAsia="游明朝"/>
          <w:b w:val="0"/>
          <w:i/>
          <w:color w:val="666666"/>
          <w:sz w:val="19"/>
        </w:rPr>
        <w:t>キーワード：コンパクトシティ／立地適正化計画／居住誘導区域／縮小都市／スマートシュリンク／地方賃貸経営</w:t>
      </w:r>
    </w:p>
    <w:p>
      <w:pPr>
        <w:spacing w:before="280" w:after="120"/>
        <w:pBdr>
          <w:bottom w:val="single" w:sz="6" w:space="4" w:color="1F8A70"/>
        </w:pBdr>
      </w:pPr>
      <w:r>
        <w:rPr>
          <w:rFonts w:ascii="游ゴシック" w:hAnsi="游ゴシック" w:eastAsia="游ゴシック"/>
          <w:b/>
          <w:color w:val="1F8A70"/>
          <w:sz w:val="28"/>
        </w:rPr>
        <w:t>第1章　背景と問題設定</w:t>
      </w:r>
    </w:p>
    <w:p>
      <w:pPr>
        <w:spacing w:after="120" w:before="0" w:line="300" w:lineRule="auto"/>
      </w:pPr>
      <w:r>
        <w:rPr>
          <w:rFonts w:ascii="游明朝" w:hAnsi="游明朝" w:eastAsia="游明朝"/>
          <w:b w:val="0"/>
          <w:i w:val="0"/>
          <w:color w:val="222222"/>
          <w:sz w:val="21"/>
        </w:rPr>
        <w:t>人口減少は、もはや遠い将来の話ではなく、当社が物件を保有する北海道・東北の多くの市町村で現在進行形の現実である。本研究の問いは単純だ。「自治体が縮小を受け入れて都市をたたみ始めるとき、賃貸住宅の需要と資産価値はどこに残り、どこで消えるのか」。</w:t>
      </w:r>
    </w:p>
    <w:p>
      <w:pPr>
        <w:spacing w:after="120" w:before="0" w:line="300" w:lineRule="auto"/>
      </w:pPr>
      <w:r>
        <w:rPr>
          <w:rFonts w:ascii="游明朝" w:hAnsi="游明朝" w:eastAsia="游明朝"/>
          <w:b w:val="0"/>
          <w:i w:val="0"/>
          <w:color w:val="222222"/>
          <w:sz w:val="21"/>
        </w:rPr>
        <w:t>この問いに最も明快な答えを与えてくれるのが夕張市である。夕張は、エネルギー政策転換による炭鉱閉山で半世紀かけて人口の9割以上を失い、2007年に全国唯一の財政再生団体となった。財政制約が極端であるがゆえに、夕張は『総花的に全市域を維持する』選択肢を最初から奪われ、明示的に居住エリアを選別する政策を、日本で最も早く・最も徹底して実装してきた。すなわち夕張は、多くの地方都市が今後たどる縮小フェーズの『20年先の実験場』である。</w:t>
      </w:r>
    </w:p>
    <w:p>
      <w:pPr>
        <w:spacing w:after="120" w:before="0" w:line="300" w:lineRule="auto"/>
      </w:pPr>
      <w:r>
        <w:rPr>
          <w:rFonts w:ascii="游明朝" w:hAnsi="游明朝" w:eastAsia="游明朝"/>
          <w:b w:val="0"/>
          <w:i w:val="0"/>
          <w:color w:val="222222"/>
          <w:sz w:val="21"/>
        </w:rPr>
        <w:t>本稿は、(1) 夕張で居住エリアとして整備される地域を公的一次資料で確定し（第3章）、(2) その集約がどう作動しているかを分解し（第4章）、(3) 縮小の規模を定量化したうえで（第5章）、(4) これを賃貸経営の実務的インサイトへ翻訳する（第6章）。</w:t>
      </w:r>
    </w:p>
    <w:p>
      <w:pPr>
        <w:spacing w:before="280" w:after="120"/>
        <w:pBdr>
          <w:bottom w:val="single" w:sz="6" w:space="4" w:color="1F8A70"/>
        </w:pBdr>
      </w:pPr>
      <w:r>
        <w:rPr>
          <w:rFonts w:ascii="游ゴシック" w:hAnsi="游ゴシック" w:eastAsia="游ゴシック"/>
          <w:b/>
          <w:color w:val="1F8A70"/>
          <w:sz w:val="28"/>
        </w:rPr>
        <w:t>第2章　データと方法</w:t>
      </w:r>
    </w:p>
    <w:p>
      <w:pPr>
        <w:spacing w:after="120" w:before="0" w:line="300" w:lineRule="auto"/>
      </w:pPr>
      <w:r>
        <w:rPr>
          <w:rFonts w:ascii="游明朝" w:hAnsi="游明朝" w:eastAsia="游明朝"/>
          <w:b w:val="0"/>
          <w:i w:val="0"/>
          <w:color w:val="222222"/>
          <w:sz w:val="21"/>
        </w:rPr>
        <w:t>本研究は、あっぷる総研の研究パイプラインに従い、23体のサブエージェントを並列実行（531回のツール呼び出し）して公的データ・議事録・報道・学術文献を多角的に収集し、一次ソースで裏取りした事実のみを採用した。中心的命題「居住集約の中心＝清水沢地区」は、独立した3名の査読エージェントが反証を試みる敵対的検証にかけ、3名全員が high confidence で支持した。</w:t>
      </w:r>
    </w:p>
    <w:p>
      <w:pPr>
        <w:spacing w:before="160" w:after="60"/>
      </w:pPr>
      <w:r>
        <w:rPr>
          <w:rFonts w:ascii="游ゴシック" w:hAnsi="游ゴシック" w:eastAsia="游ゴシック"/>
          <w:b/>
          <w:color w:val="222222"/>
          <w:sz w:val="23"/>
        </w:rPr>
        <w:t>主たる一次資料</w:t>
      </w:r>
    </w:p>
    <w:p>
      <w:pPr>
        <w:pStyle w:val="ListBullet"/>
        <w:spacing w:after="40" w:line="288" w:lineRule="auto"/>
      </w:pPr>
      <w:r>
        <w:rPr>
          <w:rFonts w:ascii="游明朝" w:hAnsi="游明朝" w:eastAsia="游明朝"/>
          <w:color w:val="222222"/>
          <w:sz w:val="21"/>
        </w:rPr>
        <w:t>夕張市『夕張市立地適正化計画』令和3年3月（本編・概要版）</w:t>
      </w:r>
    </w:p>
    <w:p>
      <w:pPr>
        <w:pStyle w:val="ListBullet"/>
        <w:spacing w:after="40" w:line="288" w:lineRule="auto"/>
      </w:pPr>
      <w:r>
        <w:rPr>
          <w:rFonts w:ascii="游明朝" w:hAnsi="游明朝" w:eastAsia="游明朝"/>
          <w:color w:val="222222"/>
          <w:sz w:val="21"/>
        </w:rPr>
        <w:t>夕張市『夕張市コンパクトシティ構想』令和4年3月（建設課）</w:t>
      </w:r>
    </w:p>
    <w:p>
      <w:pPr>
        <w:pStyle w:val="ListBullet"/>
        <w:spacing w:after="40" w:line="288" w:lineRule="auto"/>
      </w:pPr>
      <w:r>
        <w:rPr>
          <w:rFonts w:ascii="游明朝" w:hAnsi="游明朝" w:eastAsia="游明朝"/>
          <w:color w:val="222222"/>
          <w:sz w:val="21"/>
        </w:rPr>
        <w:t>夕張市『夕張市まちづくりマスタープラン』平成24年3月策定・令和3年3月改訂</w:t>
      </w:r>
    </w:p>
    <w:p>
      <w:pPr>
        <w:pStyle w:val="ListBullet"/>
        <w:spacing w:after="40" w:line="288" w:lineRule="auto"/>
      </w:pPr>
      <w:r>
        <w:rPr>
          <w:rFonts w:ascii="游明朝" w:hAnsi="游明朝" w:eastAsia="游明朝"/>
          <w:color w:val="222222"/>
          <w:sz w:val="21"/>
        </w:rPr>
        <w:t>瀬戸口剛（北海道大学大学院工学研究院教授）『人口激減都市夕張市における集約型コンパクトシティへの計画支援』土地総合研究2013年春号</w:t>
      </w:r>
    </w:p>
    <w:p>
      <w:pPr>
        <w:pStyle w:val="ListBullet"/>
        <w:spacing w:after="40" w:line="288" w:lineRule="auto"/>
      </w:pPr>
      <w:r>
        <w:rPr>
          <w:rFonts w:ascii="游明朝" w:hAnsi="游明朝" w:eastAsia="游明朝"/>
          <w:color w:val="222222"/>
          <w:sz w:val="21"/>
        </w:rPr>
        <w:t>夕張市公式 人口・高齢化統計／総務省 国勢調査／国立社会保障・人口問題研究所 将来推計</w:t>
      </w:r>
    </w:p>
    <w:p>
      <w:pPr>
        <w:spacing w:after="120" w:before="0" w:line="300" w:lineRule="auto"/>
      </w:pPr>
      <w:r>
        <w:rPr>
          <w:rFonts w:ascii="游明朝" w:hAnsi="游明朝" w:eastAsia="游明朝"/>
          <w:b w:val="0"/>
          <w:i w:val="0"/>
          <w:color w:val="666666"/>
          <w:sz w:val="19"/>
        </w:rPr>
        <w:t>二次資料（報道・解説）は事実の補完に限り、一次資料と区別して扱った。</w:t>
      </w:r>
    </w:p>
    <w:p>
      <w:pPr>
        <w:spacing w:before="280" w:after="120"/>
        <w:pBdr>
          <w:bottom w:val="single" w:sz="6" w:space="4" w:color="1F8A70"/>
        </w:pBdr>
      </w:pPr>
      <w:r>
        <w:rPr>
          <w:rFonts w:ascii="游ゴシック" w:hAnsi="游ゴシック" w:eastAsia="游ゴシック"/>
          <w:b/>
          <w:color w:val="1F8A70"/>
          <w:sz w:val="28"/>
        </w:rPr>
        <w:t>第3章　結果① 居住エリアの空間構造</w:t>
      </w:r>
    </w:p>
    <w:p>
      <w:pPr>
        <w:spacing w:before="160" w:after="60"/>
      </w:pPr>
      <w:r>
        <w:rPr>
          <w:rFonts w:ascii="游ゴシック" w:hAnsi="游ゴシック" w:eastAsia="游ゴシック"/>
          <w:b/>
          <w:color w:val="222222"/>
          <w:sz w:val="23"/>
        </w:rPr>
        <w:t>3.1　計画の三層構造と区域の絞り込み</w:t>
      </w:r>
    </w:p>
    <w:p>
      <w:pPr>
        <w:spacing w:after="80" w:before="0" w:line="300" w:lineRule="auto"/>
      </w:pPr>
      <w:r>
        <w:rPr>
          <w:rFonts w:ascii="游明朝" w:hAnsi="游明朝" w:eastAsia="游明朝"/>
          <w:b w:val="0"/>
          <w:i w:val="0"/>
          <w:color w:val="222222"/>
          <w:sz w:val="21"/>
        </w:rPr>
        <w:t>夕張の居住エリア整備は、性格の異なる3つの計画が積み重なって形成されている。</w:t>
      </w:r>
    </w:p>
    <w:tbl>
      <w:tblPr>
        <w:tblStyle w:val="LightGrid-Accent1"/>
        <w:tblW w:type="auto" w:w="0"/>
        <w:jc w:val="center"/>
        <w:tblLook w:firstColumn="1" w:firstRow="1" w:lastColumn="0" w:lastRow="0" w:noHBand="0" w:noVBand="1" w:val="04A0"/>
      </w:tblPr>
      <w:tblGrid>
        <w:gridCol w:w="2880"/>
        <w:gridCol w:w="2880"/>
        <w:gridCol w:w="2880"/>
      </w:tblGrid>
      <w:tr>
        <w:tc>
          <w:tcPr>
            <w:tcW w:type="dxa" w:w="1247"/>
            <w:shd w:val="clear" w:color="auto" w:fill="1F8A70"/>
          </w:tcPr>
          <w:p>
            <w:r/>
            <w:r>
              <w:rPr>
                <w:rFonts w:ascii="游ゴシック" w:hAnsi="游ゴシック" w:eastAsia="游ゴシック"/>
                <w:b/>
                <w:color w:val="FFFFFF"/>
                <w:sz w:val="19"/>
              </w:rPr>
              <w:t>年</w:t>
            </w:r>
          </w:p>
        </w:tc>
        <w:tc>
          <w:tcPr>
            <w:tcW w:type="dxa" w:w="2948"/>
            <w:shd w:val="clear" w:color="auto" w:fill="1F8A70"/>
          </w:tcPr>
          <w:p>
            <w:r/>
            <w:r>
              <w:rPr>
                <w:rFonts w:ascii="游ゴシック" w:hAnsi="游ゴシック" w:eastAsia="游ゴシック"/>
                <w:b/>
                <w:color w:val="FFFFFF"/>
                <w:sz w:val="19"/>
              </w:rPr>
              <w:t>計画</w:t>
            </w:r>
          </w:p>
        </w:tc>
        <w:tc>
          <w:tcPr>
            <w:tcW w:type="dxa" w:w="4876"/>
            <w:shd w:val="clear" w:color="auto" w:fill="1F8A70"/>
          </w:tcPr>
          <w:p>
            <w:r/>
            <w:r>
              <w:rPr>
                <w:rFonts w:ascii="游ゴシック" w:hAnsi="游ゴシック" w:eastAsia="游ゴシック"/>
                <w:b/>
                <w:color w:val="FFFFFF"/>
                <w:sz w:val="19"/>
              </w:rPr>
              <w:t>居住エリアの骨格</w:t>
            </w:r>
          </w:p>
        </w:tc>
      </w:tr>
      <w:tr>
        <w:tc>
          <w:tcPr>
            <w:tcW w:type="dxa" w:w="1247"/>
          </w:tcPr>
          <w:p>
            <w:pPr>
              <w:spacing w:line="264" w:lineRule="auto"/>
            </w:pPr>
            <w:r/>
            <w:r>
              <w:rPr>
                <w:rFonts w:ascii="游明朝" w:hAnsi="游明朝" w:eastAsia="游明朝"/>
                <w:color w:val="222222"/>
                <w:sz w:val="18"/>
              </w:rPr>
              <w:t>2012年3月</w:t>
            </w:r>
          </w:p>
        </w:tc>
        <w:tc>
          <w:tcPr>
            <w:tcW w:type="dxa" w:w="2948"/>
          </w:tcPr>
          <w:p>
            <w:pPr>
              <w:spacing w:line="264" w:lineRule="auto"/>
            </w:pPr>
            <w:r/>
            <w:r>
              <w:rPr>
                <w:rFonts w:ascii="游明朝" w:hAnsi="游明朝" w:eastAsia="游明朝"/>
                <w:color w:val="222222"/>
                <w:sz w:val="18"/>
              </w:rPr>
              <w:t>まちづくりマスタープラン</w:t>
            </w:r>
          </w:p>
        </w:tc>
        <w:tc>
          <w:tcPr>
            <w:tcW w:type="dxa" w:w="4876"/>
          </w:tcPr>
          <w:p>
            <w:pPr>
              <w:spacing w:line="264" w:lineRule="auto"/>
            </w:pPr>
            <w:r/>
            <w:r>
              <w:rPr>
                <w:rFonts w:ascii="游明朝" w:hAnsi="游明朝" w:eastAsia="游明朝"/>
                <w:color w:val="222222"/>
                <w:sz w:val="18"/>
              </w:rPr>
              <w:t>2骨格軸・1都市拠点（清水沢）・4地域内再編地区</w:t>
            </w:r>
          </w:p>
        </w:tc>
      </w:tr>
      <w:tr>
        <w:tc>
          <w:tcPr>
            <w:tcW w:type="dxa" w:w="1247"/>
          </w:tcPr>
          <w:p>
            <w:pPr>
              <w:spacing w:line="264" w:lineRule="auto"/>
            </w:pPr>
            <w:r/>
            <w:r>
              <w:rPr>
                <w:rFonts w:ascii="游明朝" w:hAnsi="游明朝" w:eastAsia="游明朝"/>
                <w:color w:val="222222"/>
                <w:sz w:val="18"/>
              </w:rPr>
              <w:t>2021年3月</w:t>
            </w:r>
          </w:p>
        </w:tc>
        <w:tc>
          <w:tcPr>
            <w:tcW w:type="dxa" w:w="2948"/>
          </w:tcPr>
          <w:p>
            <w:pPr>
              <w:spacing w:line="264" w:lineRule="auto"/>
            </w:pPr>
            <w:r/>
            <w:r>
              <w:rPr>
                <w:rFonts w:ascii="游明朝" w:hAnsi="游明朝" w:eastAsia="游明朝"/>
                <w:color w:val="222222"/>
                <w:sz w:val="18"/>
              </w:rPr>
              <w:t>立地適正化計画（法定）＋MP改訂</w:t>
            </w:r>
          </w:p>
        </w:tc>
        <w:tc>
          <w:tcPr>
            <w:tcW w:type="dxa" w:w="4876"/>
          </w:tcPr>
          <w:p>
            <w:pPr>
              <w:spacing w:line="264" w:lineRule="auto"/>
            </w:pPr>
            <w:r/>
            <w:r>
              <w:rPr>
                <w:rFonts w:ascii="游明朝" w:hAnsi="游明朝" w:eastAsia="游明朝"/>
                <w:color w:val="222222"/>
                <w:sz w:val="18"/>
              </w:rPr>
              <w:t>2骨格軸・3拠点（若菜・清水沢・紅葉山）へ更新</w:t>
            </w:r>
          </w:p>
        </w:tc>
      </w:tr>
      <w:tr>
        <w:tc>
          <w:tcPr>
            <w:tcW w:type="dxa" w:w="1247"/>
          </w:tcPr>
          <w:p>
            <w:pPr>
              <w:spacing w:line="264" w:lineRule="auto"/>
            </w:pPr>
            <w:r/>
            <w:r>
              <w:rPr>
                <w:rFonts w:ascii="游明朝" w:hAnsi="游明朝" w:eastAsia="游明朝"/>
                <w:color w:val="222222"/>
                <w:sz w:val="18"/>
              </w:rPr>
              <w:t>2022年3月</w:t>
            </w:r>
          </w:p>
        </w:tc>
        <w:tc>
          <w:tcPr>
            <w:tcW w:type="dxa" w:w="2948"/>
          </w:tcPr>
          <w:p>
            <w:pPr>
              <w:spacing w:line="264" w:lineRule="auto"/>
            </w:pPr>
            <w:r/>
            <w:r>
              <w:rPr>
                <w:rFonts w:ascii="游明朝" w:hAnsi="游明朝" w:eastAsia="游明朝"/>
                <w:color w:val="222222"/>
                <w:sz w:val="18"/>
              </w:rPr>
              <w:t>コンパクトシティ構想（〜2030年）</w:t>
            </w:r>
          </w:p>
        </w:tc>
        <w:tc>
          <w:tcPr>
            <w:tcW w:type="dxa" w:w="4876"/>
          </w:tcPr>
          <w:p>
            <w:pPr>
              <w:spacing w:line="264" w:lineRule="auto"/>
            </w:pPr>
            <w:r/>
            <w:r>
              <w:rPr>
                <w:rFonts w:ascii="游明朝" w:hAnsi="游明朝" w:eastAsia="游明朝"/>
                <w:color w:val="222222"/>
                <w:sz w:val="18"/>
              </w:rPr>
              <w:t>3拠点を具体化。清水沢＝『人を誘いにぎわいがある都市拠点』</w:t>
            </w:r>
          </w:p>
        </w:tc>
      </w:tr>
    </w:tbl>
    <w:p>
      <w:pPr>
        <w:spacing w:after="40" w:before="0" w:line="300" w:lineRule="auto"/>
      </w:pPr>
    </w:p>
    <w:p>
      <w:pPr>
        <w:spacing w:after="120" w:before="0" w:line="300" w:lineRule="auto"/>
      </w:pPr>
      <w:r>
        <w:rPr>
          <w:rFonts w:ascii="游明朝" w:hAnsi="游明朝" w:eastAsia="游明朝"/>
          <w:b w:val="0"/>
          <w:i w:val="0"/>
          <w:color w:val="222222"/>
          <w:sz w:val="21"/>
        </w:rPr>
        <w:t>コンパクト化の実体は『区域の絞り込み』にある。居住誘導区域は296.9ha＝用途地域1,033haの約28.7%にすぎず、市は市街地の約7割を居住誘導区域の『外』に置いた。区域設定の基準は『2040年に人口密度2人/ha以上のメッシュが存在すること』で、土砂災害警戒区域は除外された。都市機能誘導区域（医療・福祉・商業を集める区域）は101.1ha（用途地域の約9.8%）で、原則として居住誘導区域の中に設定される。</w:t>
      </w:r>
    </w:p>
    <w:p>
      <w:pPr>
        <w:spacing w:before="160" w:after="60"/>
      </w:pPr>
      <w:r>
        <w:rPr>
          <w:rFonts w:ascii="游ゴシック" w:hAnsi="游ゴシック" w:eastAsia="游ゴシック"/>
          <w:b/>
          <w:color w:val="222222"/>
          <w:sz w:val="23"/>
        </w:rPr>
        <w:t>3.2　地区別マップ（誘導の中心／集約先／撤退の三分類）</w:t>
      </w:r>
    </w:p>
    <w:tbl>
      <w:tblPr>
        <w:tblStyle w:val="LightGrid-Accent1"/>
        <w:tblW w:type="auto" w:w="0"/>
        <w:jc w:val="center"/>
        <w:tblLook w:firstColumn="1" w:firstRow="1" w:lastColumn="0" w:lastRow="0" w:noHBand="0" w:noVBand="1" w:val="04A0"/>
      </w:tblPr>
      <w:tblGrid>
        <w:gridCol w:w="2880"/>
        <w:gridCol w:w="2880"/>
        <w:gridCol w:w="2880"/>
      </w:tblGrid>
      <w:tr>
        <w:tc>
          <w:tcPr>
            <w:tcW w:type="dxa" w:w="1928"/>
            <w:shd w:val="clear" w:color="auto" w:fill="1F8A70"/>
          </w:tcPr>
          <w:p>
            <w:r/>
            <w:r>
              <w:rPr>
                <w:rFonts w:ascii="游ゴシック" w:hAnsi="游ゴシック" w:eastAsia="游ゴシック"/>
                <w:b/>
                <w:color w:val="FFFFFF"/>
                <w:sz w:val="19"/>
              </w:rPr>
              <w:t>地区</w:t>
            </w:r>
          </w:p>
        </w:tc>
        <w:tc>
          <w:tcPr>
            <w:tcW w:type="dxa" w:w="2041"/>
            <w:shd w:val="clear" w:color="auto" w:fill="1F8A70"/>
          </w:tcPr>
          <w:p>
            <w:r/>
            <w:r>
              <w:rPr>
                <w:rFonts w:ascii="游ゴシック" w:hAnsi="游ゴシック" w:eastAsia="游ゴシック"/>
                <w:b/>
                <w:color w:val="FFFFFF"/>
                <w:sz w:val="19"/>
              </w:rPr>
              <w:t>区分</w:t>
            </w:r>
          </w:p>
        </w:tc>
        <w:tc>
          <w:tcPr>
            <w:tcW w:type="dxa" w:w="5102"/>
            <w:shd w:val="clear" w:color="auto" w:fill="1F8A70"/>
          </w:tcPr>
          <w:p>
            <w:r/>
            <w:r>
              <w:rPr>
                <w:rFonts w:ascii="游ゴシック" w:hAnsi="游ゴシック" w:eastAsia="游ゴシック"/>
                <w:b/>
                <w:color w:val="FFFFFF"/>
                <w:sz w:val="19"/>
              </w:rPr>
              <w:t>役割・根拠</w:t>
            </w:r>
          </w:p>
        </w:tc>
      </w:tr>
      <w:tr>
        <w:tc>
          <w:tcPr>
            <w:tcW w:type="dxa" w:w="1928"/>
          </w:tcPr>
          <w:p>
            <w:pPr>
              <w:spacing w:line="264" w:lineRule="auto"/>
            </w:pPr>
            <w:r/>
            <w:r>
              <w:rPr>
                <w:rFonts w:ascii="游明朝" w:hAnsi="游明朝" w:eastAsia="游明朝"/>
                <w:color w:val="222222"/>
                <w:sz w:val="18"/>
              </w:rPr>
              <w:t>清水沢（南清水沢・清陵）</w:t>
            </w:r>
          </w:p>
        </w:tc>
        <w:tc>
          <w:tcPr>
            <w:tcW w:type="dxa" w:w="2041"/>
          </w:tcPr>
          <w:p>
            <w:pPr>
              <w:spacing w:line="264" w:lineRule="auto"/>
            </w:pPr>
            <w:r/>
            <w:r>
              <w:rPr>
                <w:rFonts w:ascii="游明朝" w:hAnsi="游明朝" w:eastAsia="游明朝"/>
                <w:color w:val="222222"/>
                <w:sz w:val="18"/>
              </w:rPr>
              <w:t>誘導の中心（都市拠点）</w:t>
            </w:r>
          </w:p>
        </w:tc>
        <w:tc>
          <w:tcPr>
            <w:tcW w:type="dxa" w:w="5102"/>
          </w:tcPr>
          <w:p>
            <w:pPr>
              <w:spacing w:line="264" w:lineRule="auto"/>
            </w:pPr>
            <w:r/>
            <w:r>
              <w:rPr>
                <w:rFonts w:ascii="游明朝" w:hAnsi="游明朝" w:eastAsia="游明朝"/>
                <w:color w:val="222222"/>
                <w:sz w:val="18"/>
              </w:rPr>
              <w:t>市内最多人口（約2,576人＝市の37%）。市内唯一の小中高。核施設『りすた』。新市庁舎移転先。唯一の『市の中心』</w:t>
            </w:r>
          </w:p>
        </w:tc>
      </w:tr>
      <w:tr>
        <w:tc>
          <w:tcPr>
            <w:tcW w:type="dxa" w:w="1928"/>
          </w:tcPr>
          <w:p>
            <w:pPr>
              <w:spacing w:line="264" w:lineRule="auto"/>
            </w:pPr>
            <w:r/>
            <w:r>
              <w:rPr>
                <w:rFonts w:ascii="游明朝" w:hAnsi="游明朝" w:eastAsia="游明朝"/>
                <w:color w:val="222222"/>
                <w:sz w:val="18"/>
              </w:rPr>
              <w:t>若菜</w:t>
            </w:r>
          </w:p>
        </w:tc>
        <w:tc>
          <w:tcPr>
            <w:tcW w:type="dxa" w:w="2041"/>
          </w:tcPr>
          <w:p>
            <w:pPr>
              <w:spacing w:line="264" w:lineRule="auto"/>
            </w:pPr>
            <w:r/>
            <w:r>
              <w:rPr>
                <w:rFonts w:ascii="游明朝" w:hAnsi="游明朝" w:eastAsia="游明朝"/>
                <w:color w:val="222222"/>
                <w:sz w:val="18"/>
              </w:rPr>
              <w:t>集約先（医療拠点）</w:t>
            </w:r>
          </w:p>
        </w:tc>
        <w:tc>
          <w:tcPr>
            <w:tcW w:type="dxa" w:w="5102"/>
          </w:tcPr>
          <w:p>
            <w:pPr>
              <w:spacing w:line="264" w:lineRule="auto"/>
            </w:pPr>
            <w:r/>
            <w:r>
              <w:rPr>
                <w:rFonts w:ascii="游明朝" w:hAnsi="游明朝" w:eastAsia="游明朝"/>
                <w:color w:val="222222"/>
                <w:sz w:val="18"/>
              </w:rPr>
              <w:t>市立診療所＋介護医療院を2023年に移転新築（19床＋介護19床）。福祉・健康・スポーツ集積</w:t>
            </w:r>
          </w:p>
        </w:tc>
      </w:tr>
      <w:tr>
        <w:tc>
          <w:tcPr>
            <w:tcW w:type="dxa" w:w="1928"/>
          </w:tcPr>
          <w:p>
            <w:pPr>
              <w:spacing w:line="264" w:lineRule="auto"/>
            </w:pPr>
            <w:r/>
            <w:r>
              <w:rPr>
                <w:rFonts w:ascii="游明朝" w:hAnsi="游明朝" w:eastAsia="游明朝"/>
                <w:color w:val="222222"/>
                <w:sz w:val="18"/>
              </w:rPr>
              <w:t>紅葉山</w:t>
            </w:r>
          </w:p>
        </w:tc>
        <w:tc>
          <w:tcPr>
            <w:tcW w:type="dxa" w:w="2041"/>
          </w:tcPr>
          <w:p>
            <w:pPr>
              <w:spacing w:line="264" w:lineRule="auto"/>
            </w:pPr>
            <w:r/>
            <w:r>
              <w:rPr>
                <w:rFonts w:ascii="游明朝" w:hAnsi="游明朝" w:eastAsia="游明朝"/>
                <w:color w:val="222222"/>
                <w:sz w:val="18"/>
              </w:rPr>
              <w:t>集約先（交流・観光拠点）</w:t>
            </w:r>
          </w:p>
        </w:tc>
        <w:tc>
          <w:tcPr>
            <w:tcW w:type="dxa" w:w="5102"/>
          </w:tcPr>
          <w:p>
            <w:pPr>
              <w:spacing w:line="264" w:lineRule="auto"/>
            </w:pPr>
            <w:r/>
            <w:r>
              <w:rPr>
                <w:rFonts w:ascii="游明朝" w:hAnsi="游明朝" w:eastAsia="游明朝"/>
                <w:color w:val="222222"/>
                <w:sz w:val="18"/>
              </w:rPr>
              <w:t>JR新夕張駅・道東道IC・道の駅『夕張メロード』の広域交通の玄関口</w:t>
            </w:r>
          </w:p>
        </w:tc>
      </w:tr>
      <w:tr>
        <w:tc>
          <w:tcPr>
            <w:tcW w:type="dxa" w:w="1928"/>
          </w:tcPr>
          <w:p>
            <w:pPr>
              <w:spacing w:line="264" w:lineRule="auto"/>
            </w:pPr>
            <w:r/>
            <w:r>
              <w:rPr>
                <w:rFonts w:ascii="游明朝" w:hAnsi="游明朝" w:eastAsia="游明朝"/>
                <w:color w:val="222222"/>
                <w:sz w:val="18"/>
              </w:rPr>
              <w:t>沼ノ沢</w:t>
            </w:r>
          </w:p>
        </w:tc>
        <w:tc>
          <w:tcPr>
            <w:tcW w:type="dxa" w:w="2041"/>
          </w:tcPr>
          <w:p>
            <w:pPr>
              <w:spacing w:line="264" w:lineRule="auto"/>
            </w:pPr>
            <w:r/>
            <w:r>
              <w:rPr>
                <w:rFonts w:ascii="游明朝" w:hAnsi="游明朝" w:eastAsia="游明朝"/>
                <w:color w:val="222222"/>
                <w:sz w:val="18"/>
              </w:rPr>
              <w:t>維持（生産地区だが居住誘導区域）</w:t>
            </w:r>
          </w:p>
        </w:tc>
        <w:tc>
          <w:tcPr>
            <w:tcW w:type="dxa" w:w="5102"/>
          </w:tcPr>
          <w:p>
            <w:pPr>
              <w:spacing w:line="264" w:lineRule="auto"/>
            </w:pPr>
            <w:r/>
            <w:r>
              <w:rPr>
                <w:rFonts w:ascii="游明朝" w:hAnsi="游明朝" w:eastAsia="游明朝"/>
                <w:color w:val="222222"/>
                <w:sz w:val="18"/>
              </w:rPr>
              <w:t>5人/ha以上メッシュが残る特異点。農業・工業団地</w:t>
            </w:r>
          </w:p>
        </w:tc>
      </w:tr>
      <w:tr>
        <w:tc>
          <w:tcPr>
            <w:tcW w:type="dxa" w:w="1928"/>
          </w:tcPr>
          <w:p>
            <w:pPr>
              <w:spacing w:line="264" w:lineRule="auto"/>
            </w:pPr>
            <w:r/>
            <w:r>
              <w:rPr>
                <w:rFonts w:ascii="游明朝" w:hAnsi="游明朝" w:eastAsia="游明朝"/>
                <w:color w:val="222222"/>
                <w:sz w:val="18"/>
              </w:rPr>
              <w:t>本庁（本町）</w:t>
            </w:r>
          </w:p>
        </w:tc>
        <w:tc>
          <w:tcPr>
            <w:tcW w:type="dxa" w:w="2041"/>
          </w:tcPr>
          <w:p>
            <w:pPr>
              <w:spacing w:line="264" w:lineRule="auto"/>
            </w:pPr>
            <w:r/>
            <w:r>
              <w:rPr>
                <w:rFonts w:ascii="游明朝" w:hAnsi="游明朝" w:eastAsia="游明朝"/>
                <w:color w:val="222222"/>
                <w:sz w:val="18"/>
              </w:rPr>
              <w:t>非誘導・実質撤退</w:t>
            </w:r>
          </w:p>
        </w:tc>
        <w:tc>
          <w:tcPr>
            <w:tcW w:type="dxa" w:w="5102"/>
          </w:tcPr>
          <w:p>
            <w:pPr>
              <w:spacing w:line="264" w:lineRule="auto"/>
            </w:pPr>
            <w:r/>
            <w:r>
              <w:rPr>
                <w:rFonts w:ascii="游明朝" w:hAnsi="游明朝" w:eastAsia="游明朝"/>
                <w:color w:val="222222"/>
                <w:sz w:val="18"/>
              </w:rPr>
              <w:t>旧行政中心だが『地域再編地区』。新規居住抑制。住替え時は拠点へ誘導</w:t>
            </w:r>
          </w:p>
        </w:tc>
      </w:tr>
      <w:tr>
        <w:tc>
          <w:tcPr>
            <w:tcW w:type="dxa" w:w="1928"/>
          </w:tcPr>
          <w:p>
            <w:pPr>
              <w:spacing w:line="264" w:lineRule="auto"/>
            </w:pPr>
            <w:r/>
            <w:r>
              <w:rPr>
                <w:rFonts w:ascii="游明朝" w:hAnsi="游明朝" w:eastAsia="游明朝"/>
                <w:color w:val="222222"/>
                <w:sz w:val="18"/>
              </w:rPr>
              <w:t>真谷地</w:t>
            </w:r>
          </w:p>
        </w:tc>
        <w:tc>
          <w:tcPr>
            <w:tcW w:type="dxa" w:w="2041"/>
          </w:tcPr>
          <w:p>
            <w:pPr>
              <w:spacing w:line="264" w:lineRule="auto"/>
            </w:pPr>
            <w:r/>
            <w:r>
              <w:rPr>
                <w:rFonts w:ascii="游明朝" w:hAnsi="游明朝" w:eastAsia="游明朝"/>
                <w:color w:val="222222"/>
                <w:sz w:val="18"/>
              </w:rPr>
              <w:t>撤退の最重点</w:t>
            </w:r>
          </w:p>
        </w:tc>
        <w:tc>
          <w:tcPr>
            <w:tcW w:type="dxa" w:w="5102"/>
          </w:tcPr>
          <w:p>
            <w:pPr>
              <w:spacing w:line="264" w:lineRule="auto"/>
            </w:pPr>
            <w:r/>
            <w:r>
              <w:rPr>
                <w:rFonts w:ascii="游明朝" w:hAnsi="游明朝" w:eastAsia="游明朝"/>
                <w:color w:val="222222"/>
                <w:sz w:val="18"/>
              </w:rPr>
              <w:t>公営空家率50.4%（市内最高）・高齢化70%超。住棟集約事業を2013-14年度に実施</w:t>
            </w:r>
          </w:p>
        </w:tc>
      </w:tr>
      <w:tr>
        <w:tc>
          <w:tcPr>
            <w:tcW w:type="dxa" w:w="1928"/>
          </w:tcPr>
          <w:p>
            <w:pPr>
              <w:spacing w:line="264" w:lineRule="auto"/>
            </w:pPr>
            <w:r/>
            <w:r>
              <w:rPr>
                <w:rFonts w:ascii="游明朝" w:hAnsi="游明朝" w:eastAsia="游明朝"/>
                <w:color w:val="222222"/>
                <w:sz w:val="18"/>
              </w:rPr>
              <w:t>南部・楓・登川</w:t>
            </w:r>
          </w:p>
        </w:tc>
        <w:tc>
          <w:tcPr>
            <w:tcW w:type="dxa" w:w="2041"/>
          </w:tcPr>
          <w:p>
            <w:pPr>
              <w:spacing w:line="264" w:lineRule="auto"/>
            </w:pPr>
            <w:r/>
            <w:r>
              <w:rPr>
                <w:rFonts w:ascii="游明朝" w:hAnsi="游明朝" w:eastAsia="游明朝"/>
                <w:color w:val="222222"/>
                <w:sz w:val="18"/>
              </w:rPr>
              <w:t>非誘導・撤退</w:t>
            </w:r>
          </w:p>
        </w:tc>
        <w:tc>
          <w:tcPr>
            <w:tcW w:type="dxa" w:w="5102"/>
          </w:tcPr>
          <w:p>
            <w:pPr>
              <w:spacing w:line="264" w:lineRule="auto"/>
            </w:pPr>
            <w:r/>
            <w:r>
              <w:rPr>
                <w:rFonts w:ascii="游明朝" w:hAnsi="游明朝" w:eastAsia="游明朝"/>
                <w:color w:val="222222"/>
                <w:sz w:val="18"/>
              </w:rPr>
              <w:t>都市骨格軸外。2040年に人口現状の約1割以下予測。長期は骨格軸へ移転集約</w:t>
            </w:r>
          </w:p>
        </w:tc>
      </w:tr>
      <w:tr>
        <w:tc>
          <w:tcPr>
            <w:tcW w:type="dxa" w:w="1928"/>
          </w:tcPr>
          <w:p>
            <w:pPr>
              <w:spacing w:line="264" w:lineRule="auto"/>
            </w:pPr>
            <w:r/>
            <w:r>
              <w:rPr>
                <w:rFonts w:ascii="游明朝" w:hAnsi="游明朝" w:eastAsia="游明朝"/>
                <w:color w:val="222222"/>
                <w:sz w:val="18"/>
              </w:rPr>
              <w:t>鹿島</w:t>
            </w:r>
          </w:p>
        </w:tc>
        <w:tc>
          <w:tcPr>
            <w:tcW w:type="dxa" w:w="2041"/>
          </w:tcPr>
          <w:p>
            <w:pPr>
              <w:spacing w:line="264" w:lineRule="auto"/>
            </w:pPr>
            <w:r/>
            <w:r>
              <w:rPr>
                <w:rFonts w:ascii="游明朝" w:hAnsi="游明朝" w:eastAsia="游明朝"/>
                <w:color w:val="222222"/>
                <w:sz w:val="18"/>
              </w:rPr>
              <w:t>撤退済み</w:t>
            </w:r>
          </w:p>
        </w:tc>
        <w:tc>
          <w:tcPr>
            <w:tcW w:type="dxa" w:w="5102"/>
          </w:tcPr>
          <w:p>
            <w:pPr>
              <w:spacing w:line="264" w:lineRule="auto"/>
            </w:pPr>
            <w:r/>
            <w:r>
              <w:rPr>
                <w:rFonts w:ascii="游明朝" w:hAnsi="游明朝" w:eastAsia="游明朝"/>
                <w:color w:val="222222"/>
                <w:sz w:val="18"/>
              </w:rPr>
              <w:t>シューパロダム湛水で人口0人（消滅集落）</w:t>
            </w:r>
          </w:p>
        </w:tc>
      </w:tr>
    </w:tbl>
    <w:p>
      <w:pPr>
        <w:spacing w:after="40" w:before="0" w:line="300" w:lineRule="auto"/>
      </w:pPr>
    </w:p>
    <w:p>
      <w:pPr>
        <w:spacing w:after="120" w:before="0" w:line="300" w:lineRule="auto"/>
      </w:pPr>
      <w:r>
        <w:rPr>
          <w:rFonts w:ascii="游明朝" w:hAnsi="游明朝" w:eastAsia="游明朝"/>
          <w:b w:val="0"/>
          <w:i w:val="0"/>
          <w:color w:val="666666"/>
          <w:sz w:val="18"/>
        </w:rPr>
        <w:t>注：『本庁・若菜地区』は公式図で一括表示されるが、都市機能誘導区域が設定されるのは若菜側であり、本庁地区自体は地域再編地区（居住誘導区域 非設定＝撤退側）である。この二面性に注意を要する。</w:t>
      </w:r>
    </w:p>
    <w:p>
      <w:pPr>
        <w:spacing w:before="160" w:after="60"/>
      </w:pPr>
      <w:r>
        <w:rPr>
          <w:rFonts w:ascii="游ゴシック" w:hAnsi="游ゴシック" w:eastAsia="游ゴシック"/>
          <w:b/>
          <w:color w:val="222222"/>
          <w:sz w:val="23"/>
        </w:rPr>
        <w:t>3.3　中心＝清水沢の確証と、命題の精緻化（査読結果）</w:t>
      </w:r>
    </w:p>
    <w:p>
      <w:pPr>
        <w:spacing w:after="80" w:before="0" w:line="300" w:lineRule="auto"/>
      </w:pPr>
      <w:r>
        <w:rPr>
          <w:rFonts w:ascii="游明朝" w:hAnsi="游明朝" w:eastAsia="游明朝"/>
          <w:b w:val="0"/>
          <w:i w:val="0"/>
          <w:color w:val="222222"/>
          <w:sz w:val="21"/>
        </w:rPr>
        <w:t>敵対的査読3名は、いずれも『中心市街地＝清水沢であり、旧中心の本町ではない』という命題を一次資料で支持した。確証は次の4点に集約される。</w:t>
      </w:r>
    </w:p>
    <w:p>
      <w:pPr>
        <w:pStyle w:val="ListBullet"/>
        <w:spacing w:after="40" w:line="288" w:lineRule="auto"/>
      </w:pPr>
      <w:r>
        <w:rPr>
          <w:rFonts w:ascii="游明朝" w:hAnsi="游明朝" w:eastAsia="游明朝"/>
          <w:color w:val="222222"/>
          <w:sz w:val="21"/>
        </w:rPr>
        <w:t>2012年MPの将来都市構造『2骨格軸・1都市拠点・4地域内再編地区』の『1都市拠点』が清水沢（唯一）。</w:t>
      </w:r>
    </w:p>
    <w:p>
      <w:pPr>
        <w:pStyle w:val="ListBullet"/>
        <w:spacing w:after="40" w:line="288" w:lineRule="auto"/>
      </w:pPr>
      <w:r>
        <w:rPr>
          <w:rFonts w:ascii="游明朝" w:hAnsi="游明朝" w:eastAsia="游明朝"/>
          <w:color w:val="222222"/>
          <w:sz w:val="21"/>
        </w:rPr>
        <w:t>立地適正化計画原文が清水沢を『人口が最も多く、各地区からアクセスしやすい』『夕張の都市拠点としての役割をさらに強化』と特筆。</w:t>
      </w:r>
    </w:p>
    <w:p>
      <w:pPr>
        <w:pStyle w:val="ListBullet"/>
        <w:spacing w:after="40" w:line="288" w:lineRule="auto"/>
      </w:pPr>
      <w:r>
        <w:rPr>
          <w:rFonts w:ascii="游明朝" w:hAnsi="游明朝" w:eastAsia="游明朝"/>
          <w:color w:val="222222"/>
          <w:sz w:val="21"/>
        </w:rPr>
        <w:t>拠点複合施設『りすた』を南清水沢に2020年3月開設。さらに本庁舎を本町から南清水沢『りすた』北側へ移転新築（2030年度供用予定）。</w:t>
      </w:r>
    </w:p>
    <w:p>
      <w:pPr>
        <w:pStyle w:val="ListBullet"/>
        <w:spacing w:after="40" w:line="288" w:lineRule="auto"/>
      </w:pPr>
      <w:r>
        <w:rPr>
          <w:rFonts w:ascii="游明朝" w:hAnsi="游明朝" w:eastAsia="游明朝"/>
          <w:color w:val="222222"/>
          <w:sz w:val="21"/>
        </w:rPr>
        <w:t>市営住宅の集約：2012年に清水沢へ新築『歩（あゆみ）団地』を建設し、他団地からの集約を開始。</w:t>
      </w:r>
    </w:p>
    <w:p>
      <w:pPr>
        <w:spacing w:after="120" w:before="0" w:line="300" w:lineRule="auto"/>
      </w:pPr>
      <w:r>
        <w:rPr>
          <w:rFonts w:ascii="游明朝" w:hAnsi="游明朝" w:eastAsia="游明朝"/>
          <w:b w:val="0"/>
          <w:i w:val="0"/>
          <w:color w:val="222222"/>
          <w:sz w:val="21"/>
        </w:rPr>
        <w:t>ただし1点の精緻化が必要である。2021年の計画更新で集約先は『清水沢のみ』から『若菜・清水沢・紅葉山の3拠点』へ分散した（災害時の地域孤立リスク回避が理由）。したがって正確には『清水沢は3拠点の筆頭であり、唯一の“市の中心＝都市拠点”を担う中核拠点』である。なお、2023年に市立診療所が清水沢ではなく若菜へ移転したことに住民から『コンパクトシティ後退』との批判が出ており、機能配置は完全な一極集約には収束していない。</w:t>
      </w:r>
    </w:p>
    <w:p>
      <w:pPr>
        <w:spacing w:before="280" w:after="120"/>
        <w:pBdr>
          <w:bottom w:val="single" w:sz="6" w:space="4" w:color="1F8A70"/>
        </w:pBdr>
      </w:pPr>
      <w:r>
        <w:rPr>
          <w:rFonts w:ascii="游ゴシック" w:hAnsi="游ゴシック" w:eastAsia="游ゴシック"/>
          <w:b/>
          <w:color w:val="1F8A70"/>
          <w:sz w:val="28"/>
        </w:rPr>
        <w:t>第4章　結果② 集約の作動メカニズム</w:t>
      </w:r>
    </w:p>
    <w:p>
      <w:pPr>
        <w:spacing w:after="120" w:before="0" w:line="300" w:lineRule="auto"/>
      </w:pPr>
      <w:r>
        <w:rPr>
          <w:rFonts w:ascii="游明朝" w:hAnsi="游明朝" w:eastAsia="游明朝"/>
          <w:b w:val="0"/>
          <w:i w:val="0"/>
          <w:color w:val="222222"/>
          <w:sz w:val="21"/>
        </w:rPr>
        <w:t>夕張の居住集約は『強制移転』ではない。①法定の区域指定で新規居住を方向づけ、②市営住宅という最大の住宅ストックを物理的・財政的レバーとして使い、③拠点に医療・行政・生活機能を集めて求心力を作る、という多層構造で作動している。</w:t>
      </w:r>
    </w:p>
    <w:p>
      <w:pPr>
        <w:spacing w:before="160" w:after="60"/>
      </w:pPr>
      <w:r>
        <w:rPr>
          <w:rFonts w:ascii="游ゴシック" w:hAnsi="游ゴシック" w:eastAsia="游ゴシック"/>
          <w:b/>
          <w:color w:val="222222"/>
          <w:sz w:val="23"/>
        </w:rPr>
        <w:t>メカニズム1：法定区域による『誘導』と『抑制』の二段構え</w:t>
      </w:r>
    </w:p>
    <w:p>
      <w:pPr>
        <w:spacing w:after="80" w:before="0" w:line="300" w:lineRule="auto"/>
      </w:pPr>
      <w:r>
        <w:rPr>
          <w:rFonts w:ascii="游明朝" w:hAnsi="游明朝" w:eastAsia="游明朝"/>
          <w:b w:val="0"/>
          <w:i w:val="0"/>
          <w:color w:val="222222"/>
          <w:sz w:val="21"/>
        </w:rPr>
        <w:t>拠点では住宅供給・補助で呼び込み、地域再編地区では新規居住を抑制する。都市再生特別措置法に基づき、居住誘導区域外で一定規模以上の住宅開発を行う場合は市長への届出義務が課される。</w:t>
      </w:r>
    </w:p>
    <w:p>
      <w:pPr>
        <w:spacing w:before="160" w:after="60"/>
      </w:pPr>
      <w:r>
        <w:rPr>
          <w:rFonts w:ascii="游ゴシック" w:hAnsi="游ゴシック" w:eastAsia="游ゴシック"/>
          <w:b/>
          <w:color w:val="222222"/>
          <w:sz w:val="23"/>
        </w:rPr>
        <w:t>メカニズム2：市営住宅を『集約レバー』として使う（真谷地モデル）</w:t>
      </w:r>
    </w:p>
    <w:p>
      <w:pPr>
        <w:spacing w:after="80" w:before="0" w:line="300" w:lineRule="auto"/>
      </w:pPr>
      <w:r>
        <w:rPr>
          <w:rFonts w:ascii="游明朝" w:hAnsi="游明朝" w:eastAsia="游明朝"/>
          <w:b w:val="0"/>
          <w:i w:val="0"/>
          <w:color w:val="222222"/>
          <w:sz w:val="21"/>
        </w:rPr>
        <w:t>夕張は公営住宅居住世帯が全世帯の約4割を占め（民間賃貸は1割未満）、市営住宅が居住地誘導の最強の手段になる。真谷地地区では入居者を特定の棟へ住み替え集約し、空いた棟を除却して維持費を削減する手法を、住民協議のうえ2013〜2014年度に実施した。</w:t>
      </w:r>
    </w:p>
    <w:p>
      <w:pPr>
        <w:spacing w:before="160" w:after="60"/>
      </w:pPr>
      <w:r>
        <w:rPr>
          <w:rFonts w:ascii="游ゴシック" w:hAnsi="游ゴシック" w:eastAsia="游ゴシック"/>
          <w:b/>
          <w:color w:val="222222"/>
          <w:sz w:val="23"/>
        </w:rPr>
        <w:t>メカニズム3：家賃・補助・住み替え支援による経済的誘導</w:t>
      </w:r>
    </w:p>
    <w:p>
      <w:pPr>
        <w:spacing w:after="80" w:before="0" w:line="300" w:lineRule="auto"/>
      </w:pPr>
      <w:r>
        <w:rPr>
          <w:rFonts w:ascii="游明朝" w:hAnsi="游明朝" w:eastAsia="游明朝"/>
          <w:b w:val="0"/>
          <w:i w:val="0"/>
          <w:color w:val="222222"/>
          <w:sz w:val="21"/>
        </w:rPr>
        <w:t>子育て世帯への住宅取得・リフォーム補助＋民間賃貸入居者への家賃助成、高齢世帯向けの市営住宅のグループホーム転用・サ高住整備、市内住替え支援などを束ね、拠点への移住・住み替えを経済的に有利にする。</w:t>
      </w:r>
    </w:p>
    <w:p>
      <w:pPr>
        <w:spacing w:before="160" w:after="60"/>
      </w:pPr>
      <w:r>
        <w:rPr>
          <w:rFonts w:ascii="游ゴシック" w:hAnsi="游ゴシック" w:eastAsia="游ゴシック"/>
          <w:b/>
          <w:color w:val="222222"/>
          <w:sz w:val="23"/>
        </w:rPr>
        <w:t>メカニズム4：拠点核施設と機能集約による求心力</w:t>
      </w:r>
    </w:p>
    <w:p>
      <w:pPr>
        <w:spacing w:after="80" w:before="0" w:line="300" w:lineRule="auto"/>
      </w:pPr>
      <w:r>
        <w:rPr>
          <w:rFonts w:ascii="游明朝" w:hAnsi="游明朝" w:eastAsia="游明朝"/>
          <w:b w:val="0"/>
          <w:i w:val="0"/>
          <w:color w:val="222222"/>
          <w:sz w:val="21"/>
        </w:rPr>
        <w:t>清水沢は拠点複合施設『りすた』（交通結節・図書・子育て・行政窓口）と市内唯一の小中高、若菜は市立診療所を核に、機能を物理的に集めて求心力を作る。</w:t>
      </w:r>
    </w:p>
    <w:p>
      <w:pPr>
        <w:spacing w:before="160" w:after="60"/>
      </w:pPr>
      <w:r>
        <w:rPr>
          <w:rFonts w:ascii="游ゴシック" w:hAnsi="游ゴシック" w:eastAsia="游ゴシック"/>
          <w:b/>
          <w:color w:val="222222"/>
          <w:sz w:val="23"/>
        </w:rPr>
        <w:t>メカニズム5：生活サービスの差別的維持（managed shrinkage）</w:t>
      </w:r>
    </w:p>
    <w:p>
      <w:pPr>
        <w:spacing w:after="120" w:before="0" w:line="300" w:lineRule="auto"/>
      </w:pPr>
      <w:r>
        <w:rPr>
          <w:rFonts w:ascii="游明朝" w:hAnsi="游明朝" w:eastAsia="游明朝"/>
          <w:b w:val="0"/>
          <w:i w:val="0"/>
          <w:color w:val="222222"/>
          <w:sz w:val="21"/>
        </w:rPr>
        <w:t>地域再編地区は即時撤退ではなく、新規居住の抑制＋将来の維持困難の明示＋移転時の拠点誘導という『時間をかけた緩やかな撤退』が採られる。『居住誘導区域外に住み続けることを否定しない』と明記し、住民意向ベースで進める点が要諦である。</w:t>
      </w:r>
    </w:p>
    <w:p>
      <w:pPr>
        <w:spacing w:before="280" w:after="120"/>
        <w:pBdr>
          <w:bottom w:val="single" w:sz="6" w:space="4" w:color="1F8A70"/>
        </w:pBdr>
      </w:pPr>
      <w:r>
        <w:rPr>
          <w:rFonts w:ascii="游ゴシック" w:hAnsi="游ゴシック" w:eastAsia="游ゴシック"/>
          <w:b/>
          <w:color w:val="1F8A70"/>
          <w:sz w:val="28"/>
        </w:rPr>
        <w:t>第5章　結果③ 縮小の規模感（統計）</w:t>
      </w:r>
    </w:p>
    <w:tbl>
      <w:tblPr>
        <w:tblStyle w:val="LightGrid-Accent1"/>
        <w:tblW w:type="auto" w:w="0"/>
        <w:jc w:val="center"/>
        <w:tblLook w:firstColumn="1" w:firstRow="1" w:lastColumn="0" w:lastRow="0" w:noHBand="0" w:noVBand="1" w:val="04A0"/>
      </w:tblPr>
      <w:tblGrid>
        <w:gridCol w:w="2880"/>
        <w:gridCol w:w="2880"/>
        <w:gridCol w:w="2880"/>
      </w:tblGrid>
      <w:tr>
        <w:tc>
          <w:tcPr>
            <w:tcW w:type="dxa" w:w="2381"/>
            <w:shd w:val="clear" w:color="auto" w:fill="1F8A70"/>
          </w:tcPr>
          <w:p>
            <w:r/>
            <w:r>
              <w:rPr>
                <w:rFonts w:ascii="游ゴシック" w:hAnsi="游ゴシック" w:eastAsia="游ゴシック"/>
                <w:b/>
                <w:color w:val="FFFFFF"/>
                <w:sz w:val="19"/>
              </w:rPr>
              <w:t>指標</w:t>
            </w:r>
          </w:p>
        </w:tc>
        <w:tc>
          <w:tcPr>
            <w:tcW w:type="dxa" w:w="3969"/>
            <w:shd w:val="clear" w:color="auto" w:fill="1F8A70"/>
          </w:tcPr>
          <w:p>
            <w:r/>
            <w:r>
              <w:rPr>
                <w:rFonts w:ascii="游ゴシック" w:hAnsi="游ゴシック" w:eastAsia="游ゴシック"/>
                <w:b/>
                <w:color w:val="FFFFFF"/>
                <w:sz w:val="19"/>
              </w:rPr>
              <w:t>数値</w:t>
            </w:r>
          </w:p>
        </w:tc>
        <w:tc>
          <w:tcPr>
            <w:tcW w:type="dxa" w:w="2721"/>
            <w:shd w:val="clear" w:color="auto" w:fill="1F8A70"/>
          </w:tcPr>
          <w:p>
            <w:r/>
            <w:r>
              <w:rPr>
                <w:rFonts w:ascii="游ゴシック" w:hAnsi="游ゴシック" w:eastAsia="游ゴシック"/>
                <w:b/>
                <w:color w:val="FFFFFF"/>
                <w:sz w:val="19"/>
              </w:rPr>
              <w:t>出典・年次</w:t>
            </w:r>
          </w:p>
        </w:tc>
      </w:tr>
      <w:tr>
        <w:tc>
          <w:tcPr>
            <w:tcW w:type="dxa" w:w="2381"/>
          </w:tcPr>
          <w:p>
            <w:pPr>
              <w:spacing w:line="264" w:lineRule="auto"/>
            </w:pPr>
            <w:r/>
            <w:r>
              <w:rPr>
                <w:rFonts w:ascii="游明朝" w:hAnsi="游明朝" w:eastAsia="游明朝"/>
                <w:color w:val="222222"/>
                <w:sz w:val="18"/>
              </w:rPr>
              <w:t>人口（ピーク→現在）</w:t>
            </w:r>
          </w:p>
        </w:tc>
        <w:tc>
          <w:tcPr>
            <w:tcW w:type="dxa" w:w="3969"/>
          </w:tcPr>
          <w:p>
            <w:pPr>
              <w:spacing w:line="264" w:lineRule="auto"/>
            </w:pPr>
            <w:r/>
            <w:r>
              <w:rPr>
                <w:rFonts w:ascii="游明朝" w:hAnsi="游明朝" w:eastAsia="游明朝"/>
                <w:color w:val="222222"/>
                <w:sz w:val="18"/>
              </w:rPr>
              <w:t>107,972人(1960国勢)→7,334人(2020)→5,699人(2026.6)</w:t>
            </w:r>
          </w:p>
        </w:tc>
        <w:tc>
          <w:tcPr>
            <w:tcW w:type="dxa" w:w="2721"/>
          </w:tcPr>
          <w:p>
            <w:pPr>
              <w:spacing w:line="264" w:lineRule="auto"/>
            </w:pPr>
            <w:r/>
            <w:r>
              <w:rPr>
                <w:rFonts w:ascii="游明朝" w:hAnsi="游明朝" w:eastAsia="游明朝"/>
                <w:color w:val="222222"/>
                <w:sz w:val="18"/>
              </w:rPr>
              <w:t>市公式統計</w:t>
            </w:r>
          </w:p>
        </w:tc>
      </w:tr>
      <w:tr>
        <w:tc>
          <w:tcPr>
            <w:tcW w:type="dxa" w:w="2381"/>
          </w:tcPr>
          <w:p>
            <w:pPr>
              <w:spacing w:line="264" w:lineRule="auto"/>
            </w:pPr>
            <w:r/>
            <w:r>
              <w:rPr>
                <w:rFonts w:ascii="游明朝" w:hAnsi="游明朝" w:eastAsia="游明朝"/>
                <w:color w:val="222222"/>
                <w:sz w:val="18"/>
              </w:rPr>
              <w:t>将来推計人口</w:t>
            </w:r>
          </w:p>
        </w:tc>
        <w:tc>
          <w:tcPr>
            <w:tcW w:type="dxa" w:w="3969"/>
          </w:tcPr>
          <w:p>
            <w:pPr>
              <w:spacing w:line="264" w:lineRule="auto"/>
            </w:pPr>
            <w:r/>
            <w:r>
              <w:rPr>
                <w:rFonts w:ascii="游明朝" w:hAnsi="游明朝" w:eastAsia="游明朝"/>
                <w:color w:val="222222"/>
                <w:sz w:val="18"/>
              </w:rPr>
              <w:t>2030年 約4,978人 → 2050年 約2,154人</w:t>
            </w:r>
          </w:p>
        </w:tc>
        <w:tc>
          <w:tcPr>
            <w:tcW w:type="dxa" w:w="2721"/>
          </w:tcPr>
          <w:p>
            <w:pPr>
              <w:spacing w:line="264" w:lineRule="auto"/>
            </w:pPr>
            <w:r/>
            <w:r>
              <w:rPr>
                <w:rFonts w:ascii="游明朝" w:hAnsi="游明朝" w:eastAsia="游明朝"/>
                <w:color w:val="222222"/>
                <w:sz w:val="18"/>
              </w:rPr>
              <w:t>社人研推計</w:t>
            </w:r>
          </w:p>
        </w:tc>
      </w:tr>
      <w:tr>
        <w:tc>
          <w:tcPr>
            <w:tcW w:type="dxa" w:w="2381"/>
          </w:tcPr>
          <w:p>
            <w:pPr>
              <w:spacing w:line="264" w:lineRule="auto"/>
            </w:pPr>
            <w:r/>
            <w:r>
              <w:rPr>
                <w:rFonts w:ascii="游明朝" w:hAnsi="游明朝" w:eastAsia="游明朝"/>
                <w:color w:val="222222"/>
                <w:sz w:val="18"/>
              </w:rPr>
              <w:t>高齢化率</w:t>
            </w:r>
          </w:p>
        </w:tc>
        <w:tc>
          <w:tcPr>
            <w:tcW w:type="dxa" w:w="3969"/>
          </w:tcPr>
          <w:p>
            <w:pPr>
              <w:spacing w:line="264" w:lineRule="auto"/>
            </w:pPr>
            <w:r/>
            <w:r>
              <w:rPr>
                <w:rFonts w:ascii="游明朝" w:hAnsi="游明朝" w:eastAsia="游明朝"/>
                <w:color w:val="222222"/>
                <w:sz w:val="18"/>
              </w:rPr>
              <w:t>53.5%(2026.6)／52.2%(2020国勢=全国最高水準)</w:t>
            </w:r>
          </w:p>
        </w:tc>
        <w:tc>
          <w:tcPr>
            <w:tcW w:type="dxa" w:w="2721"/>
          </w:tcPr>
          <w:p>
            <w:pPr>
              <w:spacing w:line="264" w:lineRule="auto"/>
            </w:pPr>
            <w:r/>
            <w:r>
              <w:rPr>
                <w:rFonts w:ascii="游明朝" w:hAnsi="游明朝" w:eastAsia="游明朝"/>
                <w:color w:val="222222"/>
                <w:sz w:val="18"/>
              </w:rPr>
              <w:t>市公式・国勢調査</w:t>
            </w:r>
          </w:p>
        </w:tc>
      </w:tr>
      <w:tr>
        <w:tc>
          <w:tcPr>
            <w:tcW w:type="dxa" w:w="2381"/>
          </w:tcPr>
          <w:p>
            <w:pPr>
              <w:spacing w:line="264" w:lineRule="auto"/>
            </w:pPr>
            <w:r/>
            <w:r>
              <w:rPr>
                <w:rFonts w:ascii="游明朝" w:hAnsi="游明朝" w:eastAsia="游明朝"/>
                <w:color w:val="222222"/>
                <w:sz w:val="18"/>
              </w:rPr>
              <w:t>清水沢の市内人口シェア</w:t>
            </w:r>
          </w:p>
        </w:tc>
        <w:tc>
          <w:tcPr>
            <w:tcW w:type="dxa" w:w="3969"/>
          </w:tcPr>
          <w:p>
            <w:pPr>
              <w:spacing w:line="264" w:lineRule="auto"/>
            </w:pPr>
            <w:r/>
            <w:r>
              <w:rPr>
                <w:rFonts w:ascii="游明朝" w:hAnsi="游明朝" w:eastAsia="游明朝"/>
                <w:color w:val="222222"/>
                <w:sz w:val="18"/>
              </w:rPr>
              <w:t>37.0%(2022)→37.9%(2025)（縮小局面でも漸増）</w:t>
            </w:r>
          </w:p>
        </w:tc>
        <w:tc>
          <w:tcPr>
            <w:tcW w:type="dxa" w:w="2721"/>
          </w:tcPr>
          <w:p>
            <w:pPr>
              <w:spacing w:line="264" w:lineRule="auto"/>
            </w:pPr>
            <w:r/>
            <w:r>
              <w:rPr>
                <w:rFonts w:ascii="游明朝" w:hAnsi="游明朝" w:eastAsia="游明朝"/>
                <w:color w:val="222222"/>
                <w:sz w:val="18"/>
              </w:rPr>
              <w:t>市公式 行政区別人口</w:t>
            </w:r>
          </w:p>
        </w:tc>
      </w:tr>
      <w:tr>
        <w:tc>
          <w:tcPr>
            <w:tcW w:type="dxa" w:w="2381"/>
          </w:tcPr>
          <w:p>
            <w:pPr>
              <w:spacing w:line="264" w:lineRule="auto"/>
            </w:pPr>
            <w:r/>
            <w:r>
              <w:rPr>
                <w:rFonts w:ascii="游明朝" w:hAnsi="游明朝" w:eastAsia="游明朝"/>
                <w:color w:val="222222"/>
                <w:sz w:val="18"/>
              </w:rPr>
              <w:t>3拠点合算の人口シェア</w:t>
            </w:r>
          </w:p>
        </w:tc>
        <w:tc>
          <w:tcPr>
            <w:tcW w:type="dxa" w:w="3969"/>
          </w:tcPr>
          <w:p>
            <w:pPr>
              <w:spacing w:line="264" w:lineRule="auto"/>
            </w:pPr>
            <w:r/>
            <w:r>
              <w:rPr>
                <w:rFonts w:ascii="游明朝" w:hAnsi="游明朝" w:eastAsia="游明朝"/>
                <w:color w:val="222222"/>
                <w:sz w:val="18"/>
              </w:rPr>
              <w:t>約67.1%（清水沢+若菜+紅葉山, 2025）</w:t>
            </w:r>
          </w:p>
        </w:tc>
        <w:tc>
          <w:tcPr>
            <w:tcW w:type="dxa" w:w="2721"/>
          </w:tcPr>
          <w:p>
            <w:pPr>
              <w:spacing w:line="264" w:lineRule="auto"/>
            </w:pPr>
            <w:r/>
            <w:r>
              <w:rPr>
                <w:rFonts w:ascii="游明朝" w:hAnsi="游明朝" w:eastAsia="游明朝"/>
                <w:color w:val="222222"/>
                <w:sz w:val="18"/>
              </w:rPr>
              <w:t>市公式 行政区別人口</w:t>
            </w:r>
          </w:p>
        </w:tc>
      </w:tr>
      <w:tr>
        <w:tc>
          <w:tcPr>
            <w:tcW w:type="dxa" w:w="2381"/>
          </w:tcPr>
          <w:p>
            <w:pPr>
              <w:spacing w:line="264" w:lineRule="auto"/>
            </w:pPr>
            <w:r/>
            <w:r>
              <w:rPr>
                <w:rFonts w:ascii="游明朝" w:hAnsi="游明朝" w:eastAsia="游明朝"/>
                <w:color w:val="222222"/>
                <w:sz w:val="18"/>
              </w:rPr>
              <w:t>公営住宅ストック</w:t>
            </w:r>
          </w:p>
        </w:tc>
        <w:tc>
          <w:tcPr>
            <w:tcW w:type="dxa" w:w="3969"/>
          </w:tcPr>
          <w:p>
            <w:pPr>
              <w:spacing w:line="264" w:lineRule="auto"/>
            </w:pPr>
            <w:r/>
            <w:r>
              <w:rPr>
                <w:rFonts w:ascii="游明朝" w:hAnsi="游明朝" w:eastAsia="游明朝"/>
                <w:color w:val="222222"/>
                <w:sz w:val="18"/>
              </w:rPr>
              <w:t>39団地・393棟・3,450戸（H28.3）／全世帯の約4割が公営居住</w:t>
            </w:r>
          </w:p>
        </w:tc>
        <w:tc>
          <w:tcPr>
            <w:tcW w:type="dxa" w:w="2721"/>
          </w:tcPr>
          <w:p>
            <w:pPr>
              <w:spacing w:line="264" w:lineRule="auto"/>
            </w:pPr>
            <w:r/>
            <w:r>
              <w:rPr>
                <w:rFonts w:ascii="游明朝" w:hAnsi="游明朝" w:eastAsia="游明朝"/>
                <w:color w:val="222222"/>
                <w:sz w:val="18"/>
              </w:rPr>
              <w:t>立地適正化計画</w:t>
            </w:r>
          </w:p>
        </w:tc>
      </w:tr>
      <w:tr>
        <w:tc>
          <w:tcPr>
            <w:tcW w:type="dxa" w:w="2381"/>
          </w:tcPr>
          <w:p>
            <w:pPr>
              <w:spacing w:line="264" w:lineRule="auto"/>
            </w:pPr>
            <w:r/>
            <w:r>
              <w:rPr>
                <w:rFonts w:ascii="游明朝" w:hAnsi="游明朝" w:eastAsia="游明朝"/>
                <w:color w:val="222222"/>
                <w:sz w:val="18"/>
              </w:rPr>
              <w:t>公営空き家率（2013）</w:t>
            </w:r>
          </w:p>
        </w:tc>
        <w:tc>
          <w:tcPr>
            <w:tcW w:type="dxa" w:w="3969"/>
          </w:tcPr>
          <w:p>
            <w:pPr>
              <w:spacing w:line="264" w:lineRule="auto"/>
            </w:pPr>
            <w:r/>
            <w:r>
              <w:rPr>
                <w:rFonts w:ascii="游明朝" w:hAnsi="游明朝" w:eastAsia="游明朝"/>
                <w:color w:val="222222"/>
                <w:sz w:val="18"/>
              </w:rPr>
              <w:t>真谷地50.4%／清水沢42.5%／市全体 約3割</w:t>
            </w:r>
          </w:p>
        </w:tc>
        <w:tc>
          <w:tcPr>
            <w:tcW w:type="dxa" w:w="2721"/>
          </w:tcPr>
          <w:p>
            <w:pPr>
              <w:spacing w:line="264" w:lineRule="auto"/>
            </w:pPr>
            <w:r/>
            <w:r>
              <w:rPr>
                <w:rFonts w:ascii="游明朝" w:hAnsi="游明朝" w:eastAsia="游明朝"/>
                <w:color w:val="222222"/>
                <w:sz w:val="18"/>
              </w:rPr>
              <w:t>瀬戸口論文(LIJ2013)</w:t>
            </w:r>
          </w:p>
        </w:tc>
      </w:tr>
    </w:tbl>
    <w:p>
      <w:pPr>
        <w:spacing w:after="40" w:before="0" w:line="300" w:lineRule="auto"/>
      </w:pPr>
    </w:p>
    <w:p>
      <w:pPr>
        <w:spacing w:after="120" w:before="0" w:line="300" w:lineRule="auto"/>
      </w:pPr>
      <w:r>
        <w:rPr>
          <w:rFonts w:ascii="游明朝" w:hAnsi="游明朝" w:eastAsia="游明朝"/>
          <w:b w:val="0"/>
          <w:i w:val="0"/>
          <w:color w:val="222222"/>
          <w:sz w:val="21"/>
        </w:rPr>
        <w:t>清水沢の人口シェアが縮小局面でも漸増している事実は、集約政策が方向として機能していることを示す。一方で、誘導区域系の地区に既に市人口のほぼ全量（約95.7%）が居住しており、『どこへ集めるか』の段階は概ね終わり、『区域外をどう畳むか』が次の論点になっている。</w:t>
      </w:r>
    </w:p>
    <w:p>
      <w:pPr>
        <w:spacing w:before="280" w:after="120"/>
        <w:pBdr>
          <w:bottom w:val="single" w:sz="6" w:space="4" w:color="1F8A70"/>
        </w:pBdr>
      </w:pPr>
      <w:r>
        <w:rPr>
          <w:rFonts w:ascii="游ゴシック" w:hAnsi="游ゴシック" w:eastAsia="游ゴシック"/>
          <w:b/>
          <w:color w:val="1F8A70"/>
          <w:sz w:val="28"/>
        </w:rPr>
        <w:t>第6章　考察：縮小フェーズ都市の賃貸経営戦略</w:t>
      </w:r>
    </w:p>
    <w:p>
      <w:pPr>
        <w:spacing w:after="120" w:before="0" w:line="300" w:lineRule="auto"/>
      </w:pPr>
      <w:r>
        <w:rPr>
          <w:rFonts w:ascii="游明朝" w:hAnsi="游明朝" w:eastAsia="游明朝"/>
          <w:b w:val="0"/>
          <w:i w:val="0"/>
          <w:color w:val="222222"/>
          <w:sz w:val="21"/>
        </w:rPr>
        <w:t>夕張は『日本の地方賃貸の20年後を先取りした実験場』である。以下、当社（北海道・東北を中心に地方賃貸を運用するあっぷるキャピタルグループ）への含意を、8つのインサイトとして『夕張の根拠 → 当社への適用 → リスク』の三点で整理する。</w:t>
      </w:r>
    </w:p>
    <w:p>
      <w:pPr>
        <w:spacing w:before="160" w:after="60"/>
      </w:pPr>
      <w:r>
        <w:rPr>
          <w:rFonts w:ascii="游ゴシック" w:hAnsi="游ゴシック" w:eastAsia="游ゴシック"/>
          <w:b/>
          <w:color w:val="222222"/>
          <w:sz w:val="23"/>
        </w:rPr>
        <w:t>①　立地適正化計画＝行政が描いた『未来の地価マップ』。取得DDの一次資料にせよ</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夕張は市街地の約7割を居住誘導区域『外』にした。区域外は20年スパンで住宅施策・インフラ・行政サービスの対象外＝資産価値の構造的下落。</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弘前・米沢・花巻・郡山・十和田・南相馬・江別の保有物件と新規候補が、各市の居住誘導区域／都市機能誘導区域の『内』か『外』かを必ず確認。区域内＝行政が人口密度を維持する＝賃貸需要の最後の砦。取得スクリーニングの正式項目に追加する。</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計画は改定される（夕張も1拠点→3拠点に変わった）。区域は永久保証ではない。</w:t>
      </w:r>
    </w:p>
    <w:p>
      <w:pPr>
        <w:spacing w:before="160" w:after="60"/>
      </w:pPr>
      <w:r>
        <w:rPr>
          <w:rFonts w:ascii="游ゴシック" w:hAnsi="游ゴシック" w:eastAsia="游ゴシック"/>
          <w:b/>
          <w:color w:val="222222"/>
          <w:sz w:val="23"/>
        </w:rPr>
        <w:t>②　『拠点核施設（医療・教育・複合施設）の徒歩圏』が最後の優良立地</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夕張はりすた周辺・診療所核（若菜）・市内唯一の小中高（清水沢）に機能を寄せた。医療と教育は最後まで残り、需要を固定する。</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物件評価軸に『総合病院/診療所・スーパー・学校・市役所支所・駅/バスターミナルの徒歩圏か』を追加。空室長期化物件のリノベ方向も『核施設アクセス』を訴求点に。</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核施設自体が移転する（夕張は診療所を清水沢→若菜へ移し住民批判が出た）。核の移転計画も追う必要がある。</w:t>
      </w:r>
    </w:p>
    <w:p>
      <w:pPr>
        <w:spacing w:before="160" w:after="60"/>
      </w:pPr>
      <w:r>
        <w:rPr>
          <w:rFonts w:ascii="游ゴシック" w:hAnsi="游ゴシック" w:eastAsia="游ゴシック"/>
          <w:b/>
          <w:color w:val="222222"/>
          <w:sz w:val="23"/>
        </w:rPr>
        <w:t>③　公営住宅の動向が、民間賃貸の競合・需要を決める</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夕張は公営が全世帯の約4割。再編（集約・除却）が需要構造を動かす。</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保有エリアの公営住宅ストック量と再編計画を把握。公営が大量＆低家賃なら民間は価格競争で不利＝ターゲットを公営と被らない層にずらす。逆に公営除却が進むと低所得・高齢層が民間へ流出＝受け皿になれる。</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公営の優先入居枠拡充で民間需要が公営に吸われる局面もある。</w:t>
      </w:r>
    </w:p>
    <w:p>
      <w:pPr>
        <w:spacing w:before="160" w:after="60"/>
      </w:pPr>
      <w:r>
        <w:rPr>
          <w:rFonts w:ascii="游ゴシック" w:hAnsi="游ゴシック" w:eastAsia="游ゴシック"/>
          <w:b/>
          <w:color w:val="222222"/>
          <w:sz w:val="23"/>
        </w:rPr>
        <w:t>④　需要は『高齢×単身×低家賃』へ構造シフト。プロダクトを合わせる</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夕張は高齢化率53%超、サ高住誘導・市営住宅のグループホーム転用。</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縮小エリア物件はファミリー向け大型間取りより、バリアフリー単身・見守り・近接医療を意識したプロダクトへ。出口が見えない空室物件は間取り分割・設備更新を『高齢単身』に振る。</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高齢入居は孤独死・原状回復費・滞納のリスク、回転率低下。保証会社・見守りサービスの併用が前提。</w:t>
      </w:r>
    </w:p>
    <w:p>
      <w:pPr>
        <w:spacing w:before="160" w:after="60"/>
      </w:pPr>
      <w:r>
        <w:rPr>
          <w:rFonts w:ascii="游ゴシック" w:hAnsi="游ゴシック" w:eastAsia="游ゴシック"/>
          <w:b/>
          <w:color w:val="222222"/>
          <w:sz w:val="23"/>
        </w:rPr>
        <w:t>⑤　『撤退地区→集約先』の域内移転需要を捕捉する</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夕張は地域再編地区から拠点地区への住替え誘導が政策の柱。</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同一市内で『衰退地区の戸建/古アパート』より『拠点地区の管理されたRC賃貸』を厚く持つと、家じまい・住替え需要の受け皿になれる。中心拠点に集中させる戦略。</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集約は遅い（夕張でも住替え意向『考えていない』が約50%、市長も実施時期に慎重）。需要顕在化に時間がかかる。</w:t>
      </w:r>
    </w:p>
    <w:p>
      <w:pPr>
        <w:spacing w:before="160" w:after="60"/>
      </w:pPr>
      <w:r>
        <w:rPr>
          <w:rFonts w:ascii="游ゴシック" w:hAnsi="游ゴシック" w:eastAsia="游ゴシック"/>
          <w:b/>
          <w:color w:val="222222"/>
          <w:sz w:val="23"/>
        </w:rPr>
        <w:t>⑥　出口は『行政が見捨てる前』に。資産の賞味期限を逆算する</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夕張の区域外・再編地区は流動性が枯れ、空き家50%、最終的に移転集約＝価値ゼロへ。</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保有物件が市の縮小シナリオで『区域外/再編地区』に該当するなら、稼働があるうちに売却出口を前倒し。売却スクリーニングに『立適計画 区域外』を構造的売却トリガーとして追加する。</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早すぎる売却＝機会損失。利回りが回っているうちは保有妙味も残る（最終判断は経営）。</w:t>
      </w:r>
    </w:p>
    <w:p>
      <w:pPr>
        <w:spacing w:before="160" w:after="60"/>
      </w:pPr>
      <w:r>
        <w:rPr>
          <w:rFonts w:ascii="游ゴシック" w:hAnsi="游ゴシック" w:eastAsia="游ゴシック"/>
          <w:b/>
          <w:color w:val="222222"/>
          <w:sz w:val="23"/>
        </w:rPr>
        <w:t>⑦　ポートフォリオの重心を『政令市・中核市の中心部』へ寄せる（夕張の対極）</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極端な縮小は小規模自治体ほど早く深い。</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札幌（東苗穂）・仙台のような政令市中心部物件をアンカーに。地方小都市物件は『拠点地区内・高利回り・短期回収』前提の回転型と割り切り、長期保有しない。</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政令市は利回りが低く、取得基準11%と両立しにくい。アンカーと高利回り回転型の二層構成で設計する。</w:t>
      </w:r>
    </w:p>
    <w:p>
      <w:pPr>
        <w:spacing w:before="160" w:after="60"/>
      </w:pPr>
      <w:r>
        <w:rPr>
          <w:rFonts w:ascii="游ゴシック" w:hAnsi="游ゴシック" w:eastAsia="游ゴシック"/>
          <w:b/>
          <w:color w:val="222222"/>
          <w:sz w:val="23"/>
        </w:rPr>
        <w:t>⑧　行政の『2人/ha・5人/ha』閾値を、自前のスクリーニング第5基準にする</w:t>
      </w:r>
    </w:p>
    <w:p>
      <w:pPr>
        <w:spacing w:after="40" w:line="288" w:lineRule="auto"/>
      </w:pPr>
      <w:r>
        <w:rPr>
          <w:rFonts w:ascii="游ゴシック" w:hAnsi="游ゴシック" w:eastAsia="游ゴシック"/>
          <w:b/>
          <w:color w:val="1F8A70"/>
          <w:sz w:val="19"/>
        </w:rPr>
        <w:t>夕張の根拠：</w:t>
      </w:r>
      <w:r>
        <w:rPr>
          <w:rFonts w:ascii="游明朝" w:hAnsi="游明朝" w:eastAsia="游明朝"/>
          <w:color w:val="222222"/>
          <w:sz w:val="20"/>
        </w:rPr>
        <w:t>夕張は2040年に2人/ha以上のメッシュを居住誘導区域の判定に使った。</w:t>
      </w:r>
    </w:p>
    <w:p>
      <w:pPr>
        <w:spacing w:after="40" w:line="288" w:lineRule="auto"/>
      </w:pPr>
      <w:r>
        <w:rPr>
          <w:rFonts w:ascii="游ゴシック" w:hAnsi="游ゴシック" w:eastAsia="游ゴシック"/>
          <w:b/>
          <w:color w:val="1F8A70"/>
          <w:sz w:val="19"/>
        </w:rPr>
        <w:t>当社への適用：</w:t>
      </w:r>
      <w:r>
        <w:rPr>
          <w:rFonts w:ascii="游明朝" w:hAnsi="游明朝" w:eastAsia="游明朝"/>
          <w:color w:val="222222"/>
          <w:sz w:val="20"/>
        </w:rPr>
        <w:t>取得4基準（利回り11%・築35年以内・稼働80%・年収500万）に『物件所在500mメッシュの20年後人口密度』（RESAS/社人研/国交省mlit-dpf人口メッシュ）を第5基準として追加。融資シナリオとも接続（縮小エリアは担保評価・耐用年数で融資が付きにくく、出口で買い手の融資も付かない＝二重の流動性リスク）。</w:t>
      </w:r>
    </w:p>
    <w:p>
      <w:pPr>
        <w:spacing w:after="120" w:line="288" w:lineRule="auto"/>
      </w:pPr>
      <w:r>
        <w:rPr>
          <w:rFonts w:ascii="游ゴシック" w:hAnsi="游ゴシック" w:eastAsia="游ゴシック"/>
          <w:b/>
          <w:color w:val="C0392B"/>
          <w:sz w:val="19"/>
        </w:rPr>
        <w:t>リスク：</w:t>
      </w:r>
      <w:r>
        <w:rPr>
          <w:rFonts w:ascii="游明朝" w:hAnsi="游明朝" w:eastAsia="游明朝"/>
          <w:color w:val="222222"/>
          <w:sz w:val="20"/>
        </w:rPr>
        <w:t>メッシュ推計の粒度・不確実性。あくまで補助指標として運用する。</w:t>
      </w:r>
    </w:p>
    <w:p>
      <w:pPr>
        <w:spacing w:before="280" w:after="120"/>
        <w:pBdr>
          <w:bottom w:val="single" w:sz="6" w:space="4" w:color="1F8A70"/>
        </w:pBdr>
      </w:pPr>
      <w:r>
        <w:rPr>
          <w:rFonts w:ascii="游ゴシック" w:hAnsi="游ゴシック" w:eastAsia="游ゴシック"/>
          <w:b/>
          <w:color w:val="1F8A70"/>
          <w:sz w:val="28"/>
        </w:rPr>
        <w:t>第7章　限界</w:t>
      </w:r>
    </w:p>
    <w:p>
      <w:pPr>
        <w:pStyle w:val="ListBullet"/>
        <w:spacing w:after="40" w:line="288" w:lineRule="auto"/>
      </w:pPr>
      <w:r>
        <w:rPr>
          <w:rFonts w:ascii="游明朝" w:hAnsi="游明朝" w:eastAsia="游明朝"/>
          <w:color w:val="222222"/>
          <w:sz w:val="21"/>
        </w:rPr>
        <w:t>居住誘導区域の地区別ha値は計画PDF図中ラベルのレイアウト抽出で、各値と地区の1対1対応に図上配置の推定を含む（総量296.9ha・101.1haは本文明記で確実）。</w:t>
      </w:r>
    </w:p>
    <w:p>
      <w:pPr>
        <w:pStyle w:val="ListBullet"/>
        <w:spacing w:after="40" w:line="288" w:lineRule="auto"/>
      </w:pPr>
      <w:r>
        <w:rPr>
          <w:rFonts w:ascii="游明朝" w:hAnsi="游明朝" w:eastAsia="游明朝"/>
          <w:color w:val="222222"/>
          <w:sz w:val="21"/>
        </w:rPr>
        <w:t>真谷地の『14棟中6棟移転』等の具体棟数は報道（二次情報）由来で、瀬戸口論文（一次）には棟数の明記がない。確定値は『夕張市営住宅等長寿命化計画』原文の追加取得が必要。</w:t>
      </w:r>
    </w:p>
    <w:p>
      <w:pPr>
        <w:pStyle w:val="ListBullet"/>
        <w:spacing w:after="40" w:line="288" w:lineRule="auto"/>
      </w:pPr>
      <w:r>
        <w:rPr>
          <w:rFonts w:ascii="游明朝" w:hAnsi="游明朝" w:eastAsia="游明朝"/>
          <w:color w:val="222222"/>
          <w:sz w:val="21"/>
        </w:rPr>
        <w:t>拠点地区別の高齢化率公表値、夕張市の令和5年住宅・土地統計ベース空き家率の確定一次値は未取得＝要追加照会。</w:t>
      </w:r>
    </w:p>
    <w:p>
      <w:pPr>
        <w:pStyle w:val="ListBullet"/>
        <w:spacing w:after="40" w:line="288" w:lineRule="auto"/>
      </w:pPr>
      <w:r>
        <w:rPr>
          <w:rFonts w:ascii="游明朝" w:hAnsi="游明朝" w:eastAsia="游明朝"/>
          <w:color w:val="222222"/>
          <w:sz w:val="21"/>
        </w:rPr>
        <w:t>第6章のインサイトは夕張の単一事例からの一般化であり、各市の制度・地理条件で妥当性は異なる。当社ポートフォリオへの適用は物件別の個別検証を要する。</w:t>
      </w:r>
    </w:p>
    <w:p>
      <w:pPr>
        <w:spacing w:before="280" w:after="120"/>
        <w:pBdr>
          <w:bottom w:val="single" w:sz="6" w:space="4" w:color="1F8A70"/>
        </w:pBdr>
      </w:pPr>
      <w:r>
        <w:rPr>
          <w:rFonts w:ascii="游ゴシック" w:hAnsi="游ゴシック" w:eastAsia="游ゴシック"/>
          <w:b/>
          <w:color w:val="1F8A70"/>
          <w:sz w:val="28"/>
        </w:rPr>
        <w:t>第8章　結論</w:t>
      </w:r>
    </w:p>
    <w:p>
      <w:pPr>
        <w:spacing w:after="120" w:before="0" w:line="300" w:lineRule="auto"/>
      </w:pPr>
      <w:r>
        <w:rPr>
          <w:rFonts w:ascii="游明朝" w:hAnsi="游明朝" w:eastAsia="游明朝"/>
          <w:b w:val="0"/>
          <w:i w:val="0"/>
          <w:color w:val="222222"/>
          <w:sz w:val="21"/>
        </w:rPr>
        <w:t>夕張が示したのは、『人口が減る』こと自体ではなく、『行政が、残す場所と畳む場所を線引きする』という事実である。居住集約の中心は清水沢（南清水沢）であり、かつての中心・本町はむしろ畳まれる側に回った。中心は固定ではなく、政策によって移動する。</w:t>
      </w:r>
    </w:p>
    <w:p>
      <w:pPr>
        <w:spacing w:after="120" w:before="0" w:line="300" w:lineRule="auto"/>
      </w:pPr>
      <w:r>
        <w:rPr>
          <w:rFonts w:ascii="游明朝" w:hAnsi="游明朝" w:eastAsia="游明朝"/>
          <w:b w:val="0"/>
          <w:i w:val="0"/>
          <w:color w:val="222222"/>
          <w:sz w:val="21"/>
        </w:rPr>
        <w:t>賃貸経営にとっての含意は明快だ。縮小フェーズの地方都市では、利回り・築年・稼働という従来の3指標に加えて、『その物件は、行政が20年後も人を残すと決めた線の内側にあるか』という第4の問いが、資産の生死を分ける。立地適正化計画は、その答えを行政自身が描いた地図として、すでに公開されている。当社が次にすべきは、保有13棟と新規候補を、この地図の上に一棟ずつ置き直すことである。</w:t>
      </w:r>
    </w:p>
    <w:p>
      <w:pPr>
        <w:spacing w:before="280" w:after="120"/>
        <w:pBdr>
          <w:bottom w:val="single" w:sz="6" w:space="4" w:color="1F8A70"/>
        </w:pBdr>
      </w:pPr>
      <w:r>
        <w:rPr>
          <w:rFonts w:ascii="游ゴシック" w:hAnsi="游ゴシック" w:eastAsia="游ゴシック"/>
          <w:b/>
          <w:color w:val="1F8A70"/>
          <w:sz w:val="28"/>
        </w:rPr>
        <w:t>出典一覧</w:t>
      </w:r>
    </w:p>
    <w:p>
      <w:pPr>
        <w:spacing w:before="160" w:after="60"/>
      </w:pPr>
      <w:r>
        <w:rPr>
          <w:rFonts w:ascii="游ゴシック" w:hAnsi="游ゴシック" w:eastAsia="游ゴシック"/>
          <w:b/>
          <w:color w:val="222222"/>
          <w:sz w:val="23"/>
        </w:rPr>
        <w:t>一次資料</w:t>
      </w:r>
    </w:p>
    <w:p>
      <w:pPr>
        <w:pStyle w:val="ListBullet"/>
        <w:spacing w:after="40" w:line="288" w:lineRule="auto"/>
      </w:pPr>
      <w:r>
        <w:rPr>
          <w:rFonts w:ascii="游明朝" w:hAnsi="游明朝" w:eastAsia="游明朝"/>
          <w:color w:val="222222"/>
          <w:sz w:val="18"/>
        </w:rPr>
        <w:t>夕張市『夕張市立地適正化計画』令和3年3月  https://www.city.yubari.lg.jp/uploaded/attachment/2505.pdf</w:t>
      </w:r>
    </w:p>
    <w:p>
      <w:pPr>
        <w:pStyle w:val="ListBullet"/>
        <w:spacing w:after="40" w:line="288" w:lineRule="auto"/>
      </w:pPr>
      <w:r>
        <w:rPr>
          <w:rFonts w:ascii="游明朝" w:hAnsi="游明朝" w:eastAsia="游明朝"/>
          <w:color w:val="222222"/>
          <w:sz w:val="18"/>
        </w:rPr>
        <w:t>夕張市『夕張市コンパクトシティ構想』令和4年3月  https://www.city.yubari.lg.jp/uploaded/attachment/2607.pdf</w:t>
      </w:r>
    </w:p>
    <w:p>
      <w:pPr>
        <w:pStyle w:val="ListBullet"/>
        <w:spacing w:after="40" w:line="288" w:lineRule="auto"/>
      </w:pPr>
      <w:r>
        <w:rPr>
          <w:rFonts w:ascii="游明朝" w:hAnsi="游明朝" w:eastAsia="游明朝"/>
          <w:color w:val="222222"/>
          <w:sz w:val="18"/>
        </w:rPr>
        <w:t>夕張市『夕張市まちづくりマスタープラン（令和3年3月改訂）』  https://www.city.yubari.lg.jp/uploaded/attachment/2536.pdf</w:t>
      </w:r>
    </w:p>
    <w:p>
      <w:pPr>
        <w:pStyle w:val="ListBullet"/>
        <w:spacing w:after="40" w:line="288" w:lineRule="auto"/>
      </w:pPr>
      <w:r>
        <w:rPr>
          <w:rFonts w:ascii="游明朝" w:hAnsi="游明朝" w:eastAsia="游明朝"/>
          <w:color w:val="222222"/>
          <w:sz w:val="18"/>
        </w:rPr>
        <w:t>夕張市『都市機能誘導区域と居住誘導区域を定めています』  https://www.city.yubari.lg.jp/soshiki/6/1302.html</w:t>
      </w:r>
    </w:p>
    <w:p>
      <w:pPr>
        <w:pStyle w:val="ListBullet"/>
        <w:spacing w:after="40" w:line="288" w:lineRule="auto"/>
      </w:pPr>
      <w:r>
        <w:rPr>
          <w:rFonts w:ascii="游明朝" w:hAnsi="游明朝" w:eastAsia="游明朝"/>
          <w:color w:val="222222"/>
          <w:sz w:val="18"/>
        </w:rPr>
        <w:t>夕張市『高齢者人口・高齢化率』／行政区別人口PDF  https://www.city.yubari.lg.jp/uploaded/attachment/8015.pdf</w:t>
      </w:r>
    </w:p>
    <w:p>
      <w:pPr>
        <w:pStyle w:val="ListBullet"/>
        <w:spacing w:after="40" w:line="288" w:lineRule="auto"/>
      </w:pPr>
      <w:r>
        <w:rPr>
          <w:rFonts w:ascii="游明朝" w:hAnsi="游明朝" w:eastAsia="游明朝"/>
          <w:color w:val="222222"/>
          <w:sz w:val="18"/>
        </w:rPr>
        <w:t>瀬戸口剛『人口激減都市夕張市における集約型コンパクトシティへの計画支援』土地総合研究2013年春号  https://www.lij.jp/html/jli/jli_2013/2013spring_p019.pdf</w:t>
      </w:r>
    </w:p>
    <w:p>
      <w:pPr>
        <w:pStyle w:val="ListBullet"/>
        <w:spacing w:after="40" w:line="288" w:lineRule="auto"/>
      </w:pPr>
      <w:r>
        <w:rPr>
          <w:rFonts w:ascii="游明朝" w:hAnsi="游明朝" w:eastAsia="游明朝"/>
          <w:color w:val="222222"/>
          <w:sz w:val="18"/>
        </w:rPr>
        <w:t>総務省『夕張市財政再生計画の概要』  https://www.soumu.go.jp/main_content/000057340.pdf</w:t>
      </w:r>
    </w:p>
    <w:p>
      <w:pPr>
        <w:spacing w:before="160" w:after="60"/>
      </w:pPr>
      <w:r>
        <w:rPr>
          <w:rFonts w:ascii="游ゴシック" w:hAnsi="游ゴシック" w:eastAsia="游ゴシック"/>
          <w:b/>
          <w:color w:val="222222"/>
          <w:sz w:val="23"/>
        </w:rPr>
        <w:t>二次資料（報道・解説）</w:t>
      </w:r>
    </w:p>
    <w:p>
      <w:pPr>
        <w:pStyle w:val="ListBullet"/>
        <w:spacing w:after="40" w:line="288" w:lineRule="auto"/>
      </w:pPr>
      <w:r>
        <w:rPr>
          <w:rFonts w:ascii="游明朝" w:hAnsi="游明朝" w:eastAsia="游明朝"/>
          <w:color w:val="222222"/>
          <w:sz w:val="18"/>
        </w:rPr>
        <w:t>三菱総合研究所『北海道夕張市のコンパクトなまちづくり構想』2015-04-23  https://www.mri.co.jp/knowledge/insight/20150423.html</w:t>
      </w:r>
    </w:p>
    <w:p>
      <w:pPr>
        <w:pStyle w:val="ListBullet"/>
        <w:spacing w:after="40" w:line="288" w:lineRule="auto"/>
      </w:pPr>
      <w:r>
        <w:rPr>
          <w:rFonts w:ascii="游明朝" w:hAnsi="游明朝" w:eastAsia="游明朝"/>
          <w:color w:val="222222"/>
          <w:sz w:val="18"/>
        </w:rPr>
        <w:t>Wedge『行政サービス最低の夕張がなぜコンパクトシティに成功したのか？』  https://wedge.ismedia.jp/articles/-/13684</w:t>
      </w:r>
    </w:p>
    <w:p>
      <w:pPr>
        <w:pStyle w:val="ListBullet"/>
        <w:spacing w:after="40" w:line="288" w:lineRule="auto"/>
      </w:pPr>
      <w:r>
        <w:rPr>
          <w:rFonts w:ascii="游明朝" w:hAnsi="游明朝" w:eastAsia="游明朝"/>
          <w:color w:val="222222"/>
          <w:sz w:val="18"/>
        </w:rPr>
        <w:t>北海道新聞『夕張市新庁舎「りすた北側」に 都市機能を集約』  https://www.hokkaido-np.co.jp/article/901810/</w:t>
      </w:r>
    </w:p>
    <w:p>
      <w:pPr>
        <w:pStyle w:val="ListBullet"/>
        <w:spacing w:after="40" w:line="288" w:lineRule="auto"/>
      </w:pPr>
      <w:r>
        <w:rPr>
          <w:rFonts w:ascii="游明朝" w:hAnsi="游明朝" w:eastAsia="游明朝"/>
          <w:color w:val="222222"/>
          <w:sz w:val="18"/>
        </w:rPr>
        <w:t>北海道新聞『夕張診療所移転に不満も 住民「コンパクトシティー後退」』  https://www.hokkaido-np.co.jp/article/910384/</w:t>
      </w:r>
    </w:p>
    <w:p>
      <w:pPr>
        <w:pStyle w:val="ListBullet"/>
        <w:spacing w:after="40" w:line="288" w:lineRule="auto"/>
      </w:pPr>
      <w:r>
        <w:rPr>
          <w:rFonts w:ascii="游明朝" w:hAnsi="游明朝" w:eastAsia="游明朝"/>
          <w:color w:val="222222"/>
          <w:sz w:val="18"/>
        </w:rPr>
        <w:t>日本経済新聞『北海道夕張市「借金完済」へ、耐えて縮んだ20年』  https://www.nikkei.com/article/DGXZQOFC16AFP0W6A610C2000000/</w:t>
      </w:r>
    </w:p>
    <w:p>
      <w:pPr>
        <w:pStyle w:val="ListBullet"/>
        <w:spacing w:after="40" w:line="288" w:lineRule="auto"/>
      </w:pPr>
      <w:r>
        <w:rPr>
          <w:rFonts w:ascii="游明朝" w:hAnsi="游明朝" w:eastAsia="游明朝"/>
          <w:color w:val="222222"/>
          <w:sz w:val="18"/>
        </w:rPr>
        <w:t>nippon.com『病床9割減でも医療崩壊はなかった』  https://www.nippon.com/ja/in-depth/d00683/</w:t>
      </w:r>
    </w:p>
    <w:p>
      <w:pPr>
        <w:spacing w:after="120" w:before="160" w:line="300" w:lineRule="auto"/>
      </w:pPr>
    </w:p>
    <w:p>
      <w:pPr>
        <w:jc w:val="center"/>
      </w:pPr>
      <w:r>
        <w:rPr>
          <w:rFonts w:ascii="游明朝" w:hAnsi="游明朝" w:eastAsia="游明朝"/>
          <w:color w:val="666666"/>
          <w:sz w:val="17"/>
        </w:rPr>
        <w:t>※ 本稿は不動産・経済の調査研究であり、特定の投資判断を推奨するものではありません（投資助言ではありません）。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