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left"/>
      </w:pPr>
      <w:r>
        <w:rPr>
          <w:rFonts w:ascii="Calibri" w:hAnsi="Calibri"/>
          <w:b/>
          <w:i w:val="0"/>
          <w:color w:val="2E74B5"/>
          <w:sz w:val="44"/>
        </w:rPr>
        <w:t>Nexumics - Technical Design Document</w:t>
      </w:r>
    </w:p>
    <w:p>
      <w:pPr>
        <w:spacing w:before="0" w:after="200" w:line="240" w:lineRule="auto"/>
        <w:jc w:val="left"/>
      </w:pPr>
      <w:r>
        <w:rPr>
          <w:rFonts w:ascii="Calibri" w:hAnsi="Calibri"/>
          <w:b w:val="0"/>
          <w:i w:val="0"/>
          <w:color w:val="555555"/>
          <w:sz w:val="23"/>
        </w:rPr>
        <w:t>Living technical specification for the platform</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c>
          <w:tcPr>
            <w:tcW w:type="dxa" w:w="23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20"/>
              </w:rPr>
              <w:t>Field</w:t>
            </w:r>
          </w:p>
        </w:tc>
        <w:tc>
          <w:tcPr>
            <w:tcW w:type="dxa" w:w="706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20"/>
              </w:rPr>
              <w:t>Details</w:t>
            </w:r>
          </w:p>
        </w:tc>
      </w:tr>
      <w:tr>
        <w:trPr/>
        <w:tc>
          <w:tcPr>
            <w:tcW w:type="dxa" w:w="2300"/>
            <w:tcMar>
              <w:top w:w="80" w:type="dxa"/>
              <w:bottom w:w="80" w:type="dxa"/>
              <w:start w:w="120" w:type="dxa"/>
              <w:end w:w="120" w:type="dxa"/>
            </w:tcMar>
          </w:tcPr>
          <w:p>
            <w:pPr>
              <w:spacing w:before="0" w:after="0" w:line="252" w:lineRule="auto"/>
              <w:jc w:val="left"/>
            </w:pPr>
            <w:r/>
            <w:r>
              <w:rPr>
                <w:rFonts w:ascii="Calibri" w:hAnsi="Calibri"/>
                <w:b w:val="0"/>
                <w:color w:val="000000"/>
                <w:sz w:val="20"/>
              </w:rPr>
              <w:t>Document status</w:t>
            </w:r>
          </w:p>
        </w:tc>
        <w:tc>
          <w:tcPr>
            <w:tcW w:type="dxa" w:w="7060"/>
            <w:tcMar>
              <w:top w:w="80" w:type="dxa"/>
              <w:bottom w:w="80" w:type="dxa"/>
              <w:start w:w="120" w:type="dxa"/>
              <w:end w:w="120" w:type="dxa"/>
            </w:tcMar>
          </w:tcPr>
          <w:p>
            <w:pPr>
              <w:spacing w:before="0" w:after="0" w:line="252" w:lineRule="auto"/>
              <w:jc w:val="left"/>
            </w:pPr>
            <w:r/>
            <w:r>
              <w:rPr>
                <w:rFonts w:ascii="Calibri" w:hAnsi="Calibri"/>
                <w:b w:val="0"/>
                <w:color w:val="000000"/>
                <w:sz w:val="20"/>
              </w:rPr>
              <w:t>Working draft</w:t>
            </w:r>
          </w:p>
        </w:tc>
      </w:tr>
      <w:tr>
        <w:trPr/>
        <w:tc>
          <w:tcPr>
            <w:tcW w:type="dxa" w:w="2300"/>
            <w:tcMar>
              <w:top w:w="80" w:type="dxa"/>
              <w:bottom w:w="80" w:type="dxa"/>
              <w:start w:w="120" w:type="dxa"/>
              <w:end w:w="120" w:type="dxa"/>
            </w:tcMar>
          </w:tcPr>
          <w:p>
            <w:pPr>
              <w:spacing w:before="0" w:after="0" w:line="252" w:lineRule="auto"/>
              <w:jc w:val="left"/>
            </w:pPr>
            <w:r/>
            <w:r>
              <w:rPr>
                <w:rFonts w:ascii="Calibri" w:hAnsi="Calibri"/>
                <w:b w:val="0"/>
                <w:color w:val="000000"/>
                <w:sz w:val="20"/>
              </w:rPr>
              <w:t>Purpose</w:t>
            </w:r>
          </w:p>
        </w:tc>
        <w:tc>
          <w:tcPr>
            <w:tcW w:type="dxa" w:w="7060"/>
            <w:tcMar>
              <w:top w:w="80" w:type="dxa"/>
              <w:bottom w:w="80" w:type="dxa"/>
              <w:start w:w="120" w:type="dxa"/>
              <w:end w:w="120" w:type="dxa"/>
            </w:tcMar>
          </w:tcPr>
          <w:p>
            <w:pPr>
              <w:spacing w:before="0" w:after="0" w:line="252" w:lineRule="auto"/>
              <w:jc w:val="left"/>
            </w:pPr>
            <w:r/>
            <w:r>
              <w:rPr>
                <w:rFonts w:ascii="Calibri" w:hAnsi="Calibri"/>
                <w:b w:val="0"/>
                <w:color w:val="000000"/>
                <w:sz w:val="20"/>
              </w:rPr>
              <w:t>Define the architecture, data flow, and engineering decisions that shape Nexumics</w:t>
            </w:r>
          </w:p>
        </w:tc>
      </w:tr>
      <w:tr>
        <w:trPr/>
        <w:tc>
          <w:tcPr>
            <w:tcW w:type="dxa" w:w="2300"/>
            <w:tcMar>
              <w:top w:w="80" w:type="dxa"/>
              <w:bottom w:w="80" w:type="dxa"/>
              <w:start w:w="120" w:type="dxa"/>
              <w:end w:w="120" w:type="dxa"/>
            </w:tcMar>
          </w:tcPr>
          <w:p>
            <w:pPr>
              <w:spacing w:before="0" w:after="0" w:line="252" w:lineRule="auto"/>
              <w:jc w:val="left"/>
            </w:pPr>
            <w:r/>
            <w:r>
              <w:rPr>
                <w:rFonts w:ascii="Calibri" w:hAnsi="Calibri"/>
                <w:b w:val="0"/>
                <w:color w:val="000000"/>
                <w:sz w:val="20"/>
              </w:rPr>
              <w:t>Primary stack</w:t>
            </w:r>
          </w:p>
        </w:tc>
        <w:tc>
          <w:tcPr>
            <w:tcW w:type="dxa" w:w="7060"/>
            <w:tcMar>
              <w:top w:w="80" w:type="dxa"/>
              <w:bottom w:w="80" w:type="dxa"/>
              <w:start w:w="120" w:type="dxa"/>
              <w:end w:w="120" w:type="dxa"/>
            </w:tcMar>
          </w:tcPr>
          <w:p>
            <w:pPr>
              <w:spacing w:before="0" w:after="0" w:line="252" w:lineRule="auto"/>
              <w:jc w:val="left"/>
            </w:pPr>
            <w:r/>
            <w:r>
              <w:rPr>
                <w:rFonts w:ascii="Calibri" w:hAnsi="Calibri"/>
                <w:b w:val="0"/>
                <w:color w:val="000000"/>
                <w:sz w:val="20"/>
              </w:rPr>
              <w:t>Python, Polars, DuckDB, PostgreSQL, Dagster, Docker, Pandera, pytest, GitHub Actions, Metabase</w:t>
            </w:r>
          </w:p>
        </w:tc>
      </w:tr>
      <w:tr>
        <w:trPr/>
        <w:tc>
          <w:tcPr>
            <w:tcW w:type="dxa" w:w="2300"/>
            <w:tcMar>
              <w:top w:w="80" w:type="dxa"/>
              <w:bottom w:w="80" w:type="dxa"/>
              <w:start w:w="120" w:type="dxa"/>
              <w:end w:w="120" w:type="dxa"/>
            </w:tcMar>
          </w:tcPr>
          <w:p>
            <w:pPr>
              <w:spacing w:before="0" w:after="0" w:line="252" w:lineRule="auto"/>
              <w:jc w:val="left"/>
            </w:pPr>
            <w:r/>
            <w:r>
              <w:rPr>
                <w:rFonts w:ascii="Calibri" w:hAnsi="Calibri"/>
                <w:b w:val="0"/>
                <w:color w:val="000000"/>
                <w:sz w:val="20"/>
              </w:rPr>
              <w:t>Data sources</w:t>
            </w:r>
          </w:p>
        </w:tc>
        <w:tc>
          <w:tcPr>
            <w:tcW w:type="dxa" w:w="7060"/>
            <w:tcMar>
              <w:top w:w="80" w:type="dxa"/>
              <w:bottom w:w="80" w:type="dxa"/>
              <w:start w:w="120" w:type="dxa"/>
              <w:end w:w="120" w:type="dxa"/>
            </w:tcMar>
          </w:tcPr>
          <w:p>
            <w:pPr>
              <w:spacing w:before="0" w:after="0" w:line="252" w:lineRule="auto"/>
              <w:jc w:val="left"/>
            </w:pPr>
            <w:r/>
            <w:r>
              <w:rPr>
                <w:rFonts w:ascii="Calibri" w:hAnsi="Calibri"/>
                <w:b w:val="0"/>
                <w:color w:val="000000"/>
                <w:sz w:val="20"/>
              </w:rPr>
              <w:t>GEO, SRA, ENA, BioProject, and BioSample</w:t>
            </w:r>
          </w:p>
        </w:tc>
      </w:tr>
      <w:tr>
        <w:trPr/>
        <w:tc>
          <w:tcPr>
            <w:tcW w:type="dxa" w:w="2300"/>
            <w:tcMar>
              <w:top w:w="80" w:type="dxa"/>
              <w:bottom w:w="80" w:type="dxa"/>
              <w:start w:w="120" w:type="dxa"/>
              <w:end w:w="120" w:type="dxa"/>
            </w:tcMar>
          </w:tcPr>
          <w:p>
            <w:pPr>
              <w:spacing w:before="0" w:after="0" w:line="252" w:lineRule="auto"/>
              <w:jc w:val="left"/>
            </w:pPr>
            <w:r/>
            <w:r>
              <w:rPr>
                <w:rFonts w:ascii="Calibri" w:hAnsi="Calibri"/>
                <w:b w:val="0"/>
                <w:color w:val="000000"/>
                <w:sz w:val="20"/>
              </w:rPr>
              <w:t>Delivery style</w:t>
            </w:r>
          </w:p>
        </w:tc>
        <w:tc>
          <w:tcPr>
            <w:tcW w:type="dxa" w:w="7060"/>
            <w:tcMar>
              <w:top w:w="80" w:type="dxa"/>
              <w:bottom w:w="80" w:type="dxa"/>
              <w:start w:w="120" w:type="dxa"/>
              <w:end w:w="120" w:type="dxa"/>
            </w:tcMar>
          </w:tcPr>
          <w:p>
            <w:pPr>
              <w:spacing w:before="0" w:after="0" w:line="252" w:lineRule="auto"/>
              <w:jc w:val="left"/>
            </w:pPr>
            <w:r/>
            <w:r>
              <w:rPr>
                <w:rFonts w:ascii="Calibri" w:hAnsi="Calibri"/>
                <w:b w:val="0"/>
                <w:color w:val="000000"/>
                <w:sz w:val="20"/>
              </w:rPr>
              <w:t>Local-first, reproducible, and portfolio-ready</w:t>
            </w:r>
          </w:p>
        </w:tc>
      </w:tr>
    </w:tbl>
    <w:p>
      <w:pPr>
        <w:pStyle w:val="Heading1"/>
        <w:keepNext/>
      </w:pPr>
      <w:r>
        <w:t>System Overview</w:t>
      </w:r>
    </w:p>
    <w:p>
      <w:pPr>
        <w:spacing w:before="0" w:after="120" w:line="264" w:lineRule="auto"/>
        <w:jc w:val="left"/>
      </w:pPr>
      <w:r>
        <w:rPr>
          <w:rFonts w:ascii="Calibri" w:hAnsi="Calibri"/>
          <w:b w:val="0"/>
          <w:i w:val="0"/>
          <w:color w:val="000000"/>
          <w:sz w:val="22"/>
        </w:rPr>
        <w:t>Nexumics follows a layered lakehouse pattern. Public API and metadata responses land in a raw zone, are refined into bronze and silver representations, and then are curated into gold analytics tables that can be loaded into PostgreSQL for downstream consumption. The main design goal is to keep each stage accountable for one type of transformation so the pipeline remains explainable and easy to test.</w:t>
      </w:r>
    </w:p>
    <w:p>
      <w:pPr>
        <w:spacing w:before="0" w:after="160" w:line="264" w:lineRule="auto"/>
        <w:jc w:val="left"/>
      </w:pPr>
      <w:r>
        <w:rPr>
          <w:rFonts w:ascii="Calibri" w:hAnsi="Calibri"/>
          <w:b/>
          <w:i w:val="0"/>
          <w:color w:val="1F4D78"/>
          <w:sz w:val="22"/>
        </w:rPr>
        <w:t>APIs -&gt; Raw JSON -&gt; Bronze Parquet -&gt; Silver Standardized -&gt; Gold Analytics -&gt; PostgreSQL -&gt; Metabase</w:t>
      </w:r>
    </w:p>
    <w:p>
      <w:pPr>
        <w:pStyle w:val="Heading1"/>
        <w:keepNext/>
      </w:pPr>
      <w:r>
        <w:t>Design Principles</w:t>
      </w:r>
    </w:p>
    <w:p>
      <w:pPr>
        <w:spacing w:before="0" w:after="120" w:line="264" w:lineRule="auto"/>
        <w:jc w:val="left"/>
      </w:pPr>
      <w:r>
        <w:rPr>
          <w:rFonts w:ascii="Calibri" w:hAnsi="Calibri"/>
          <w:b w:val="0"/>
          <w:i w:val="0"/>
          <w:color w:val="000000"/>
          <w:sz w:val="22"/>
        </w:rPr>
        <w:t>Reproducibility comes first: every transformation should be rerunnable from the documented source inputs.</w:t>
      </w:r>
    </w:p>
    <w:p>
      <w:pPr>
        <w:spacing w:before="0" w:after="120" w:line="264" w:lineRule="auto"/>
        <w:jc w:val="left"/>
      </w:pPr>
      <w:r>
        <w:rPr>
          <w:rFonts w:ascii="Calibri" w:hAnsi="Calibri"/>
          <w:b w:val="0"/>
          <w:i w:val="0"/>
          <w:color w:val="000000"/>
          <w:sz w:val="22"/>
        </w:rPr>
        <w:t>Quality is explicit: contracts, validations, and tests are part of the design rather than an afterthought.</w:t>
      </w:r>
    </w:p>
    <w:p>
      <w:pPr>
        <w:spacing w:before="0" w:after="160" w:line="264" w:lineRule="auto"/>
        <w:jc w:val="left"/>
      </w:pPr>
      <w:r>
        <w:rPr>
          <w:rFonts w:ascii="Calibri" w:hAnsi="Calibri"/>
          <w:b w:val="0"/>
          <w:i w:val="0"/>
          <w:color w:val="000000"/>
          <w:sz w:val="22"/>
        </w:rPr>
        <w:t>Observability matters: logs and metrics should make it obvious where a failure occurred and why.</w:t>
      </w:r>
    </w:p>
    <w:p>
      <w:pPr>
        <w:pStyle w:val="Heading1"/>
        <w:keepNext/>
      </w:pPr>
      <w:r>
        <w:t>Data Sources</w:t>
      </w:r>
    </w:p>
    <w:tbl>
      <w:tblPr>
        <w:tblStyle w:val="TableGrid"/>
        <w:tblW w:type="dxa" w:w="9360"/>
        <w:jc w:val="left"/>
        <w:tblLayout w:type="fixed"/>
        <w:tblLook w:firstColumn="1" w:firstRow="1" w:lastColumn="0" w:lastRow="0" w:noHBand="0" w:noVBand="1" w:val="04A0"/>
        <w:tblInd w:type="dxa" w:w="120"/>
      </w:tblPr>
      <w:tblGrid>
        <w:gridCol w:w="1200"/>
        <w:gridCol w:w="2500"/>
        <w:gridCol w:w="2400"/>
        <w:gridCol w:w="3260"/>
      </w:tblGrid>
      <w:tr>
        <w:trPr/>
        <w:tc>
          <w:tcPr>
            <w:tcW w:type="dxa" w:w="12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Source</w:t>
            </w:r>
          </w:p>
        </w:tc>
        <w:tc>
          <w:tcPr>
            <w:tcW w:type="dxa" w:w="25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Role in the Platform</w:t>
            </w:r>
          </w:p>
        </w:tc>
        <w:tc>
          <w:tcPr>
            <w:tcW w:type="dxa" w:w="24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Primary Entities</w:t>
            </w:r>
          </w:p>
        </w:tc>
        <w:tc>
          <w:tcPr>
            <w:tcW w:type="dxa" w:w="326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Notes</w:t>
            </w:r>
          </w:p>
        </w:tc>
      </w:tr>
      <w:tr>
        <w:trPr/>
        <w:tc>
          <w:tcPr>
            <w:tcW w:type="dxa" w:w="1200"/>
            <w:tcMar>
              <w:top w:w="80" w:type="dxa"/>
              <w:bottom w:w="80" w:type="dxa"/>
              <w:start w:w="120" w:type="dxa"/>
              <w:end w:w="120" w:type="dxa"/>
            </w:tcMar>
          </w:tcPr>
          <w:p>
            <w:pPr>
              <w:spacing w:before="0" w:after="0" w:line="252" w:lineRule="auto"/>
              <w:jc w:val="left"/>
            </w:pPr>
            <w:r/>
            <w:r>
              <w:rPr>
                <w:rFonts w:ascii="Calibri" w:hAnsi="Calibri"/>
                <w:b w:val="0"/>
                <w:color w:val="000000"/>
                <w:sz w:val="19"/>
              </w:rPr>
              <w:t>GEO</w:t>
            </w:r>
          </w:p>
        </w:tc>
        <w:tc>
          <w:tcPr>
            <w:tcW w:type="dxa" w:w="2500"/>
            <w:tcMar>
              <w:top w:w="80" w:type="dxa"/>
              <w:bottom w:w="80" w:type="dxa"/>
              <w:start w:w="120" w:type="dxa"/>
              <w:end w:w="120" w:type="dxa"/>
            </w:tcMar>
          </w:tcPr>
          <w:p>
            <w:pPr>
              <w:spacing w:before="0" w:after="0" w:line="252" w:lineRule="auto"/>
              <w:jc w:val="left"/>
            </w:pPr>
            <w:r/>
            <w:r>
              <w:rPr>
                <w:rFonts w:ascii="Calibri" w:hAnsi="Calibri"/>
                <w:b w:val="0"/>
                <w:color w:val="000000"/>
                <w:sz w:val="19"/>
              </w:rPr>
              <w:t>Study and sample metadata entry point</w:t>
            </w:r>
          </w:p>
        </w:tc>
        <w:tc>
          <w:tcPr>
            <w:tcW w:type="dxa" w:w="2400"/>
            <w:tcMar>
              <w:top w:w="80" w:type="dxa"/>
              <w:bottom w:w="80" w:type="dxa"/>
              <w:start w:w="120" w:type="dxa"/>
              <w:end w:w="120" w:type="dxa"/>
            </w:tcMar>
          </w:tcPr>
          <w:p>
            <w:pPr>
              <w:spacing w:before="0" w:after="0" w:line="252" w:lineRule="auto"/>
              <w:jc w:val="left"/>
            </w:pPr>
            <w:r/>
            <w:r>
              <w:rPr>
                <w:rFonts w:ascii="Calibri" w:hAnsi="Calibri"/>
                <w:b w:val="0"/>
                <w:color w:val="000000"/>
                <w:sz w:val="19"/>
              </w:rPr>
              <w:t>Series, samples, platforms</w:t>
            </w:r>
          </w:p>
        </w:tc>
        <w:tc>
          <w:tcPr>
            <w:tcW w:type="dxa" w:w="3260"/>
            <w:tcMar>
              <w:top w:w="80" w:type="dxa"/>
              <w:bottom w:w="80" w:type="dxa"/>
              <w:start w:w="120" w:type="dxa"/>
              <w:end w:w="120" w:type="dxa"/>
            </w:tcMar>
          </w:tcPr>
          <w:p>
            <w:pPr>
              <w:spacing w:before="0" w:after="0" w:line="252" w:lineRule="auto"/>
              <w:jc w:val="left"/>
            </w:pPr>
            <w:r/>
            <w:r>
              <w:rPr>
                <w:rFonts w:ascii="Calibri" w:hAnsi="Calibri"/>
                <w:b w:val="0"/>
                <w:color w:val="000000"/>
                <w:sz w:val="19"/>
              </w:rPr>
              <w:t>Useful for high-level experimental context and study grouping</w:t>
            </w:r>
          </w:p>
        </w:tc>
      </w:tr>
      <w:tr>
        <w:trPr/>
        <w:tc>
          <w:tcPr>
            <w:tcW w:type="dxa" w:w="1200"/>
            <w:tcMar>
              <w:top w:w="80" w:type="dxa"/>
              <w:bottom w:w="80" w:type="dxa"/>
              <w:start w:w="120" w:type="dxa"/>
              <w:end w:w="120" w:type="dxa"/>
            </w:tcMar>
          </w:tcPr>
          <w:p>
            <w:pPr>
              <w:spacing w:before="0" w:after="0" w:line="252" w:lineRule="auto"/>
              <w:jc w:val="left"/>
            </w:pPr>
            <w:r/>
            <w:r>
              <w:rPr>
                <w:rFonts w:ascii="Calibri" w:hAnsi="Calibri"/>
                <w:b w:val="0"/>
                <w:color w:val="000000"/>
                <w:sz w:val="19"/>
              </w:rPr>
              <w:t>SRA</w:t>
            </w:r>
          </w:p>
        </w:tc>
        <w:tc>
          <w:tcPr>
            <w:tcW w:type="dxa" w:w="2500"/>
            <w:tcMar>
              <w:top w:w="80" w:type="dxa"/>
              <w:bottom w:w="80" w:type="dxa"/>
              <w:start w:w="120" w:type="dxa"/>
              <w:end w:w="120" w:type="dxa"/>
            </w:tcMar>
          </w:tcPr>
          <w:p>
            <w:pPr>
              <w:spacing w:before="0" w:after="0" w:line="252" w:lineRule="auto"/>
              <w:jc w:val="left"/>
            </w:pPr>
            <w:r/>
            <w:r>
              <w:rPr>
                <w:rFonts w:ascii="Calibri" w:hAnsi="Calibri"/>
                <w:b w:val="0"/>
                <w:color w:val="000000"/>
                <w:sz w:val="19"/>
              </w:rPr>
              <w:t>Sequencing run and experiment detail</w:t>
            </w:r>
          </w:p>
        </w:tc>
        <w:tc>
          <w:tcPr>
            <w:tcW w:type="dxa" w:w="2400"/>
            <w:tcMar>
              <w:top w:w="80" w:type="dxa"/>
              <w:bottom w:w="80" w:type="dxa"/>
              <w:start w:w="120" w:type="dxa"/>
              <w:end w:w="120" w:type="dxa"/>
            </w:tcMar>
          </w:tcPr>
          <w:p>
            <w:pPr>
              <w:spacing w:before="0" w:after="0" w:line="252" w:lineRule="auto"/>
              <w:jc w:val="left"/>
            </w:pPr>
            <w:r/>
            <w:r>
              <w:rPr>
                <w:rFonts w:ascii="Calibri" w:hAnsi="Calibri"/>
                <w:b w:val="0"/>
                <w:color w:val="000000"/>
                <w:sz w:val="19"/>
              </w:rPr>
              <w:t>Experiments, runs, submissions</w:t>
            </w:r>
          </w:p>
        </w:tc>
        <w:tc>
          <w:tcPr>
            <w:tcW w:type="dxa" w:w="3260"/>
            <w:tcMar>
              <w:top w:w="80" w:type="dxa"/>
              <w:bottom w:w="80" w:type="dxa"/>
              <w:start w:w="120" w:type="dxa"/>
              <w:end w:w="120" w:type="dxa"/>
            </w:tcMar>
          </w:tcPr>
          <w:p>
            <w:pPr>
              <w:spacing w:before="0" w:after="0" w:line="252" w:lineRule="auto"/>
              <w:jc w:val="left"/>
            </w:pPr>
            <w:r/>
            <w:r>
              <w:rPr>
                <w:rFonts w:ascii="Calibri" w:hAnsi="Calibri"/>
                <w:b w:val="0"/>
                <w:color w:val="000000"/>
                <w:sz w:val="19"/>
              </w:rPr>
              <w:t>Provides deeper execution metadata and provenance</w:t>
            </w:r>
          </w:p>
        </w:tc>
      </w:tr>
      <w:tr>
        <w:trPr/>
        <w:tc>
          <w:tcPr>
            <w:tcW w:type="dxa" w:w="1200"/>
            <w:tcMar>
              <w:top w:w="80" w:type="dxa"/>
              <w:bottom w:w="80" w:type="dxa"/>
              <w:start w:w="120" w:type="dxa"/>
              <w:end w:w="120" w:type="dxa"/>
            </w:tcMar>
          </w:tcPr>
          <w:p>
            <w:pPr>
              <w:spacing w:before="0" w:after="0" w:line="252" w:lineRule="auto"/>
              <w:jc w:val="left"/>
            </w:pPr>
            <w:r/>
            <w:r>
              <w:rPr>
                <w:rFonts w:ascii="Calibri" w:hAnsi="Calibri"/>
                <w:b w:val="0"/>
                <w:color w:val="000000"/>
                <w:sz w:val="19"/>
              </w:rPr>
              <w:t>ENA</w:t>
            </w:r>
          </w:p>
        </w:tc>
        <w:tc>
          <w:tcPr>
            <w:tcW w:type="dxa" w:w="2500"/>
            <w:tcMar>
              <w:top w:w="80" w:type="dxa"/>
              <w:bottom w:w="80" w:type="dxa"/>
              <w:start w:w="120" w:type="dxa"/>
              <w:end w:w="120" w:type="dxa"/>
            </w:tcMar>
          </w:tcPr>
          <w:p>
            <w:pPr>
              <w:spacing w:before="0" w:after="0" w:line="252" w:lineRule="auto"/>
              <w:jc w:val="left"/>
            </w:pPr>
            <w:r/>
            <w:r>
              <w:rPr>
                <w:rFonts w:ascii="Calibri" w:hAnsi="Calibri"/>
                <w:b w:val="0"/>
                <w:color w:val="000000"/>
                <w:sz w:val="19"/>
              </w:rPr>
              <w:t>Cross-reference and accession enrichment</w:t>
            </w:r>
          </w:p>
        </w:tc>
        <w:tc>
          <w:tcPr>
            <w:tcW w:type="dxa" w:w="2400"/>
            <w:tcMar>
              <w:top w:w="80" w:type="dxa"/>
              <w:bottom w:w="80" w:type="dxa"/>
              <w:start w:w="120" w:type="dxa"/>
              <w:end w:w="120" w:type="dxa"/>
            </w:tcMar>
          </w:tcPr>
          <w:p>
            <w:pPr>
              <w:spacing w:before="0" w:after="0" w:line="252" w:lineRule="auto"/>
              <w:jc w:val="left"/>
            </w:pPr>
            <w:r/>
            <w:r>
              <w:rPr>
                <w:rFonts w:ascii="Calibri" w:hAnsi="Calibri"/>
                <w:b w:val="0"/>
                <w:color w:val="000000"/>
                <w:sz w:val="19"/>
              </w:rPr>
              <w:t>Accessions, sample links, run metadata</w:t>
            </w:r>
          </w:p>
        </w:tc>
        <w:tc>
          <w:tcPr>
            <w:tcW w:type="dxa" w:w="3260"/>
            <w:tcMar>
              <w:top w:w="80" w:type="dxa"/>
              <w:bottom w:w="80" w:type="dxa"/>
              <w:start w:w="120" w:type="dxa"/>
              <w:end w:w="120" w:type="dxa"/>
            </w:tcMar>
          </w:tcPr>
          <w:p>
            <w:pPr>
              <w:spacing w:before="0" w:after="0" w:line="252" w:lineRule="auto"/>
              <w:jc w:val="left"/>
            </w:pPr>
            <w:r/>
            <w:r>
              <w:rPr>
                <w:rFonts w:ascii="Calibri" w:hAnsi="Calibri"/>
                <w:b w:val="0"/>
                <w:color w:val="000000"/>
                <w:sz w:val="19"/>
              </w:rPr>
              <w:t>Helps align identifiers across repositories</w:t>
            </w:r>
          </w:p>
        </w:tc>
      </w:tr>
      <w:tr>
        <w:trPr/>
        <w:tc>
          <w:tcPr>
            <w:tcW w:type="dxa" w:w="1200"/>
            <w:tcMar>
              <w:top w:w="80" w:type="dxa"/>
              <w:bottom w:w="80" w:type="dxa"/>
              <w:start w:w="120" w:type="dxa"/>
              <w:end w:w="120" w:type="dxa"/>
            </w:tcMar>
          </w:tcPr>
          <w:p>
            <w:pPr>
              <w:spacing w:before="0" w:after="0" w:line="252" w:lineRule="auto"/>
              <w:jc w:val="left"/>
            </w:pPr>
            <w:r/>
            <w:r>
              <w:rPr>
                <w:rFonts w:ascii="Calibri" w:hAnsi="Calibri"/>
                <w:b w:val="0"/>
                <w:color w:val="000000"/>
                <w:sz w:val="19"/>
              </w:rPr>
              <w:t>BioProject</w:t>
            </w:r>
          </w:p>
        </w:tc>
        <w:tc>
          <w:tcPr>
            <w:tcW w:type="dxa" w:w="2500"/>
            <w:tcMar>
              <w:top w:w="80" w:type="dxa"/>
              <w:bottom w:w="80" w:type="dxa"/>
              <w:start w:w="120" w:type="dxa"/>
              <w:end w:w="120" w:type="dxa"/>
            </w:tcMar>
          </w:tcPr>
          <w:p>
            <w:pPr>
              <w:spacing w:before="0" w:after="0" w:line="252" w:lineRule="auto"/>
              <w:jc w:val="left"/>
            </w:pPr>
            <w:r/>
            <w:r>
              <w:rPr>
                <w:rFonts w:ascii="Calibri" w:hAnsi="Calibri"/>
                <w:b w:val="0"/>
                <w:color w:val="000000"/>
                <w:sz w:val="19"/>
              </w:rPr>
              <w:t>Project-level aggregation</w:t>
            </w:r>
          </w:p>
        </w:tc>
        <w:tc>
          <w:tcPr>
            <w:tcW w:type="dxa" w:w="2400"/>
            <w:tcMar>
              <w:top w:w="80" w:type="dxa"/>
              <w:bottom w:w="80" w:type="dxa"/>
              <w:start w:w="120" w:type="dxa"/>
              <w:end w:w="120" w:type="dxa"/>
            </w:tcMar>
          </w:tcPr>
          <w:p>
            <w:pPr>
              <w:spacing w:before="0" w:after="0" w:line="252" w:lineRule="auto"/>
              <w:jc w:val="left"/>
            </w:pPr>
            <w:r/>
            <w:r>
              <w:rPr>
                <w:rFonts w:ascii="Calibri" w:hAnsi="Calibri"/>
                <w:b w:val="0"/>
                <w:color w:val="000000"/>
                <w:sz w:val="19"/>
              </w:rPr>
              <w:t>Projects, linked studies, organism references</w:t>
            </w:r>
          </w:p>
        </w:tc>
        <w:tc>
          <w:tcPr>
            <w:tcW w:type="dxa" w:w="3260"/>
            <w:tcMar>
              <w:top w:w="80" w:type="dxa"/>
              <w:bottom w:w="80" w:type="dxa"/>
              <w:start w:w="120" w:type="dxa"/>
              <w:end w:w="120" w:type="dxa"/>
            </w:tcMar>
          </w:tcPr>
          <w:p>
            <w:pPr>
              <w:spacing w:before="0" w:after="0" w:line="252" w:lineRule="auto"/>
              <w:jc w:val="left"/>
            </w:pPr>
            <w:r/>
            <w:r>
              <w:rPr>
                <w:rFonts w:ascii="Calibri" w:hAnsi="Calibri"/>
                <w:b w:val="0"/>
                <w:color w:val="000000"/>
                <w:sz w:val="19"/>
              </w:rPr>
              <w:t>Supports broader experiment grouping</w:t>
            </w:r>
          </w:p>
        </w:tc>
      </w:tr>
      <w:tr>
        <w:trPr/>
        <w:tc>
          <w:tcPr>
            <w:tcW w:type="dxa" w:w="1200"/>
            <w:tcMar>
              <w:top w:w="80" w:type="dxa"/>
              <w:bottom w:w="80" w:type="dxa"/>
              <w:start w:w="120" w:type="dxa"/>
              <w:end w:w="120" w:type="dxa"/>
            </w:tcMar>
          </w:tcPr>
          <w:p>
            <w:pPr>
              <w:spacing w:before="0" w:after="0" w:line="252" w:lineRule="auto"/>
              <w:jc w:val="left"/>
            </w:pPr>
            <w:r/>
            <w:r>
              <w:rPr>
                <w:rFonts w:ascii="Calibri" w:hAnsi="Calibri"/>
                <w:b w:val="0"/>
                <w:color w:val="000000"/>
                <w:sz w:val="19"/>
              </w:rPr>
              <w:t>BioSample</w:t>
            </w:r>
          </w:p>
        </w:tc>
        <w:tc>
          <w:tcPr>
            <w:tcW w:type="dxa" w:w="2500"/>
            <w:tcMar>
              <w:top w:w="80" w:type="dxa"/>
              <w:bottom w:w="80" w:type="dxa"/>
              <w:start w:w="120" w:type="dxa"/>
              <w:end w:w="120" w:type="dxa"/>
            </w:tcMar>
          </w:tcPr>
          <w:p>
            <w:pPr>
              <w:spacing w:before="0" w:after="0" w:line="252" w:lineRule="auto"/>
              <w:jc w:val="left"/>
            </w:pPr>
            <w:r/>
            <w:r>
              <w:rPr>
                <w:rFonts w:ascii="Calibri" w:hAnsi="Calibri"/>
                <w:b w:val="0"/>
                <w:color w:val="000000"/>
                <w:sz w:val="19"/>
              </w:rPr>
              <w:t>Sample-level normalization anchor</w:t>
            </w:r>
          </w:p>
        </w:tc>
        <w:tc>
          <w:tcPr>
            <w:tcW w:type="dxa" w:w="2400"/>
            <w:tcMar>
              <w:top w:w="80" w:type="dxa"/>
              <w:bottom w:w="80" w:type="dxa"/>
              <w:start w:w="120" w:type="dxa"/>
              <w:end w:w="120" w:type="dxa"/>
            </w:tcMar>
          </w:tcPr>
          <w:p>
            <w:pPr>
              <w:spacing w:before="0" w:after="0" w:line="252" w:lineRule="auto"/>
              <w:jc w:val="left"/>
            </w:pPr>
            <w:r/>
            <w:r>
              <w:rPr>
                <w:rFonts w:ascii="Calibri" w:hAnsi="Calibri"/>
                <w:b w:val="0"/>
                <w:color w:val="000000"/>
                <w:sz w:val="19"/>
              </w:rPr>
              <w:t>Samples, attributes, organism context</w:t>
            </w:r>
          </w:p>
        </w:tc>
        <w:tc>
          <w:tcPr>
            <w:tcW w:type="dxa" w:w="3260"/>
            <w:tcMar>
              <w:top w:w="80" w:type="dxa"/>
              <w:bottom w:w="80" w:type="dxa"/>
              <w:start w:w="120" w:type="dxa"/>
              <w:end w:w="120" w:type="dxa"/>
            </w:tcMar>
          </w:tcPr>
          <w:p>
            <w:pPr>
              <w:spacing w:before="0" w:after="0" w:line="252" w:lineRule="auto"/>
              <w:jc w:val="left"/>
            </w:pPr>
            <w:r/>
            <w:r>
              <w:rPr>
                <w:rFonts w:ascii="Calibri" w:hAnsi="Calibri"/>
                <w:b w:val="0"/>
                <w:color w:val="000000"/>
                <w:sz w:val="19"/>
              </w:rPr>
              <w:t>Critical for consistent sample identity</w:t>
            </w:r>
          </w:p>
        </w:tc>
      </w:tr>
    </w:tbl>
    <w:p>
      <w:pPr>
        <w:pStyle w:val="Heading1"/>
        <w:keepNext/>
      </w:pPr>
      <w:r>
        <w:t>Lakehouse Layers</w:t>
      </w:r>
    </w:p>
    <w:p>
      <w:pPr>
        <w:pStyle w:val="Heading2"/>
        <w:keepNext/>
      </w:pPr>
      <w:r>
        <w:t>Raw</w:t>
      </w:r>
    </w:p>
    <w:p>
      <w:pPr>
        <w:spacing w:before="0" w:after="120" w:line="264" w:lineRule="auto"/>
        <w:jc w:val="left"/>
      </w:pPr>
      <w:r>
        <w:rPr>
          <w:rFonts w:ascii="Calibri" w:hAnsi="Calibri"/>
          <w:b w:val="0"/>
          <w:i w:val="0"/>
          <w:color w:val="000000"/>
          <w:sz w:val="22"/>
        </w:rPr>
        <w:t>Store source payloads as close to the original API response as possible so lineage and reprocessing remain available.</w:t>
      </w:r>
    </w:p>
    <w:p>
      <w:pPr>
        <w:pStyle w:val="Heading2"/>
        <w:keepNext/>
      </w:pPr>
      <w:r>
        <w:t>Bronze</w:t>
      </w:r>
    </w:p>
    <w:p>
      <w:pPr>
        <w:spacing w:before="0" w:after="120" w:line="264" w:lineRule="auto"/>
        <w:jc w:val="left"/>
      </w:pPr>
      <w:r>
        <w:rPr>
          <w:rFonts w:ascii="Calibri" w:hAnsi="Calibri"/>
          <w:b w:val="0"/>
          <w:i w:val="0"/>
          <w:color w:val="000000"/>
          <w:sz w:val="22"/>
        </w:rPr>
        <w:t>Parse raw responses into well-shaped records, preserve source identifiers, and standardize the basic file layout.</w:t>
      </w:r>
    </w:p>
    <w:p>
      <w:pPr>
        <w:pStyle w:val="Heading2"/>
        <w:keepNext/>
      </w:pPr>
      <w:r>
        <w:t>Silver</w:t>
      </w:r>
    </w:p>
    <w:p>
      <w:pPr>
        <w:spacing w:before="0" w:after="120" w:line="264" w:lineRule="auto"/>
        <w:jc w:val="left"/>
      </w:pPr>
      <w:r>
        <w:rPr>
          <w:rFonts w:ascii="Calibri" w:hAnsi="Calibri"/>
          <w:b w:val="0"/>
          <w:i w:val="0"/>
          <w:color w:val="000000"/>
          <w:sz w:val="22"/>
        </w:rPr>
        <w:t>Apply canonical naming, deduplication, cross-source linking, and data contracts that make the records trustworthy.</w:t>
      </w:r>
    </w:p>
    <w:p>
      <w:pPr>
        <w:pStyle w:val="Heading2"/>
        <w:keepNext/>
      </w:pPr>
      <w:r>
        <w:t>Gold</w:t>
      </w:r>
    </w:p>
    <w:p>
      <w:pPr>
        <w:spacing w:before="0" w:after="160" w:line="264" w:lineRule="auto"/>
        <w:jc w:val="left"/>
      </w:pPr>
      <w:r>
        <w:rPr>
          <w:rFonts w:ascii="Calibri" w:hAnsi="Calibri"/>
          <w:b w:val="0"/>
          <w:i w:val="0"/>
          <w:color w:val="000000"/>
          <w:sz w:val="22"/>
        </w:rPr>
        <w:t>Build analysis-ready tables and aggregates that are optimized for reporting, exploration, and downstream dashboards.</w:t>
      </w:r>
    </w:p>
    <w:p>
      <w:pPr>
        <w:pStyle w:val="Heading1"/>
        <w:keepNext/>
      </w:pPr>
      <w:r>
        <w:t>Pipeline Flow</w:t>
      </w:r>
    </w:p>
    <w:tbl>
      <w:tblPr>
        <w:tblStyle w:val="TableGrid"/>
        <w:tblW w:type="dxa" w:w="9360"/>
        <w:jc w:val="left"/>
        <w:tblLayout w:type="fixed"/>
        <w:tblLook w:firstColumn="1" w:firstRow="1" w:lastColumn="0" w:lastRow="0" w:noHBand="0" w:noVBand="1" w:val="04A0"/>
        <w:tblInd w:type="dxa" w:w="120"/>
      </w:tblPr>
      <w:tblGrid>
        <w:gridCol w:w="1600"/>
        <w:gridCol w:w="2700"/>
        <w:gridCol w:w="5060"/>
      </w:tblGrid>
      <w:tr>
        <w:trPr/>
        <w:tc>
          <w:tcPr>
            <w:tcW w:type="dxa" w:w="16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Stage</w:t>
            </w:r>
          </w:p>
        </w:tc>
        <w:tc>
          <w:tcPr>
            <w:tcW w:type="dxa" w:w="27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Function</w:t>
            </w:r>
          </w:p>
        </w:tc>
        <w:tc>
          <w:tcPr>
            <w:tcW w:type="dxa" w:w="506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Implementation Notes</w:t>
            </w:r>
          </w:p>
        </w:tc>
      </w:tr>
      <w:tr>
        <w:trPr/>
        <w:tc>
          <w:tcPr>
            <w:tcW w:type="dxa" w:w="1600"/>
            <w:tcMar>
              <w:top w:w="80" w:type="dxa"/>
              <w:bottom w:w="80" w:type="dxa"/>
              <w:start w:w="120" w:type="dxa"/>
              <w:end w:w="120" w:type="dxa"/>
            </w:tcMar>
          </w:tcPr>
          <w:p>
            <w:pPr>
              <w:spacing w:before="0" w:after="0" w:line="252" w:lineRule="auto"/>
              <w:jc w:val="left"/>
            </w:pPr>
            <w:r/>
            <w:r>
              <w:rPr>
                <w:rFonts w:ascii="Calibri" w:hAnsi="Calibri"/>
                <w:b w:val="0"/>
                <w:color w:val="000000"/>
                <w:sz w:val="19"/>
              </w:rPr>
              <w:t>Ingestion</w:t>
            </w:r>
          </w:p>
        </w:tc>
        <w:tc>
          <w:tcPr>
            <w:tcW w:type="dxa" w:w="2700"/>
            <w:tcMar>
              <w:top w:w="80" w:type="dxa"/>
              <w:bottom w:w="80" w:type="dxa"/>
              <w:start w:w="120" w:type="dxa"/>
              <w:end w:w="120" w:type="dxa"/>
            </w:tcMar>
          </w:tcPr>
          <w:p>
            <w:pPr>
              <w:spacing w:before="0" w:after="0" w:line="252" w:lineRule="auto"/>
              <w:jc w:val="left"/>
            </w:pPr>
            <w:r/>
            <w:r>
              <w:rPr>
                <w:rFonts w:ascii="Calibri" w:hAnsi="Calibri"/>
                <w:b w:val="0"/>
                <w:color w:val="000000"/>
                <w:sz w:val="19"/>
              </w:rPr>
              <w:t>Fetch public metadata and land it in raw storage</w:t>
            </w:r>
          </w:p>
        </w:tc>
        <w:tc>
          <w:tcPr>
            <w:tcW w:type="dxa" w:w="5060"/>
            <w:tcMar>
              <w:top w:w="80" w:type="dxa"/>
              <w:bottom w:w="80" w:type="dxa"/>
              <w:start w:w="120" w:type="dxa"/>
              <w:end w:w="120" w:type="dxa"/>
            </w:tcMar>
          </w:tcPr>
          <w:p>
            <w:pPr>
              <w:spacing w:before="0" w:after="0" w:line="252" w:lineRule="auto"/>
              <w:jc w:val="left"/>
            </w:pPr>
            <w:r/>
            <w:r>
              <w:rPr>
                <w:rFonts w:ascii="Calibri" w:hAnsi="Calibri"/>
                <w:b w:val="0"/>
                <w:color w:val="000000"/>
                <w:sz w:val="19"/>
              </w:rPr>
              <w:t>Use source-specific adapters and capture timestamps, source identifiers, and error details</w:t>
            </w:r>
          </w:p>
        </w:tc>
      </w:tr>
      <w:tr>
        <w:trPr/>
        <w:tc>
          <w:tcPr>
            <w:tcW w:type="dxa" w:w="1600"/>
            <w:tcMar>
              <w:top w:w="80" w:type="dxa"/>
              <w:bottom w:w="80" w:type="dxa"/>
              <w:start w:w="120" w:type="dxa"/>
              <w:end w:w="120" w:type="dxa"/>
            </w:tcMar>
          </w:tcPr>
          <w:p>
            <w:pPr>
              <w:spacing w:before="0" w:after="0" w:line="252" w:lineRule="auto"/>
              <w:jc w:val="left"/>
            </w:pPr>
            <w:r/>
            <w:r>
              <w:rPr>
                <w:rFonts w:ascii="Calibri" w:hAnsi="Calibri"/>
                <w:b w:val="0"/>
                <w:color w:val="000000"/>
                <w:sz w:val="19"/>
              </w:rPr>
              <w:t>Validation</w:t>
            </w:r>
          </w:p>
        </w:tc>
        <w:tc>
          <w:tcPr>
            <w:tcW w:type="dxa" w:w="2700"/>
            <w:tcMar>
              <w:top w:w="80" w:type="dxa"/>
              <w:bottom w:w="80" w:type="dxa"/>
              <w:start w:w="120" w:type="dxa"/>
              <w:end w:w="120" w:type="dxa"/>
            </w:tcMar>
          </w:tcPr>
          <w:p>
            <w:pPr>
              <w:spacing w:before="0" w:after="0" w:line="252" w:lineRule="auto"/>
              <w:jc w:val="left"/>
            </w:pPr>
            <w:r/>
            <w:r>
              <w:rPr>
                <w:rFonts w:ascii="Calibri" w:hAnsi="Calibri"/>
                <w:b w:val="0"/>
                <w:color w:val="000000"/>
                <w:sz w:val="19"/>
              </w:rPr>
              <w:t>Check payload shape and key fields</w:t>
            </w:r>
          </w:p>
        </w:tc>
        <w:tc>
          <w:tcPr>
            <w:tcW w:type="dxa" w:w="5060"/>
            <w:tcMar>
              <w:top w:w="80" w:type="dxa"/>
              <w:bottom w:w="80" w:type="dxa"/>
              <w:start w:w="120" w:type="dxa"/>
              <w:end w:w="120" w:type="dxa"/>
            </w:tcMar>
          </w:tcPr>
          <w:p>
            <w:pPr>
              <w:spacing w:before="0" w:after="0" w:line="252" w:lineRule="auto"/>
              <w:jc w:val="left"/>
            </w:pPr>
            <w:r/>
            <w:r>
              <w:rPr>
                <w:rFonts w:ascii="Calibri" w:hAnsi="Calibri"/>
                <w:b w:val="0"/>
                <w:color w:val="000000"/>
                <w:sz w:val="19"/>
              </w:rPr>
              <w:t>Pandera or equivalent checks fail fast on malformed records</w:t>
            </w:r>
          </w:p>
        </w:tc>
      </w:tr>
      <w:tr>
        <w:trPr/>
        <w:tc>
          <w:tcPr>
            <w:tcW w:type="dxa" w:w="1600"/>
            <w:tcMar>
              <w:top w:w="80" w:type="dxa"/>
              <w:bottom w:w="80" w:type="dxa"/>
              <w:start w:w="120" w:type="dxa"/>
              <w:end w:w="120" w:type="dxa"/>
            </w:tcMar>
          </w:tcPr>
          <w:p>
            <w:pPr>
              <w:spacing w:before="0" w:after="0" w:line="252" w:lineRule="auto"/>
              <w:jc w:val="left"/>
            </w:pPr>
            <w:r/>
            <w:r>
              <w:rPr>
                <w:rFonts w:ascii="Calibri" w:hAnsi="Calibri"/>
                <w:b w:val="0"/>
                <w:color w:val="000000"/>
                <w:sz w:val="19"/>
              </w:rPr>
              <w:t>Normalization</w:t>
            </w:r>
          </w:p>
        </w:tc>
        <w:tc>
          <w:tcPr>
            <w:tcW w:type="dxa" w:w="2700"/>
            <w:tcMar>
              <w:top w:w="80" w:type="dxa"/>
              <w:bottom w:w="80" w:type="dxa"/>
              <w:start w:w="120" w:type="dxa"/>
              <w:end w:w="120" w:type="dxa"/>
            </w:tcMar>
          </w:tcPr>
          <w:p>
            <w:pPr>
              <w:spacing w:before="0" w:after="0" w:line="252" w:lineRule="auto"/>
              <w:jc w:val="left"/>
            </w:pPr>
            <w:r/>
            <w:r>
              <w:rPr>
                <w:rFonts w:ascii="Calibri" w:hAnsi="Calibri"/>
                <w:b w:val="0"/>
                <w:color w:val="000000"/>
                <w:sz w:val="19"/>
              </w:rPr>
              <w:t>Convert source-specific records into shared schemas</w:t>
            </w:r>
          </w:p>
        </w:tc>
        <w:tc>
          <w:tcPr>
            <w:tcW w:type="dxa" w:w="5060"/>
            <w:tcMar>
              <w:top w:w="80" w:type="dxa"/>
              <w:bottom w:w="80" w:type="dxa"/>
              <w:start w:w="120" w:type="dxa"/>
              <w:end w:w="120" w:type="dxa"/>
            </w:tcMar>
          </w:tcPr>
          <w:p>
            <w:pPr>
              <w:spacing w:before="0" w:after="0" w:line="252" w:lineRule="auto"/>
              <w:jc w:val="left"/>
            </w:pPr>
            <w:r/>
            <w:r>
              <w:rPr>
                <w:rFonts w:ascii="Calibri" w:hAnsi="Calibri"/>
                <w:b w:val="0"/>
                <w:color w:val="000000"/>
                <w:sz w:val="19"/>
              </w:rPr>
              <w:t>Polars transforms should be deterministic and easy to unit test</w:t>
            </w:r>
          </w:p>
        </w:tc>
      </w:tr>
      <w:tr>
        <w:trPr/>
        <w:tc>
          <w:tcPr>
            <w:tcW w:type="dxa" w:w="1600"/>
            <w:tcMar>
              <w:top w:w="80" w:type="dxa"/>
              <w:bottom w:w="80" w:type="dxa"/>
              <w:start w:w="120" w:type="dxa"/>
              <w:end w:w="120" w:type="dxa"/>
            </w:tcMar>
          </w:tcPr>
          <w:p>
            <w:pPr>
              <w:spacing w:before="0" w:after="0" w:line="252" w:lineRule="auto"/>
              <w:jc w:val="left"/>
            </w:pPr>
            <w:r/>
            <w:r>
              <w:rPr>
                <w:rFonts w:ascii="Calibri" w:hAnsi="Calibri"/>
                <w:b w:val="0"/>
                <w:color w:val="000000"/>
                <w:sz w:val="19"/>
              </w:rPr>
              <w:t>Loading</w:t>
            </w:r>
          </w:p>
        </w:tc>
        <w:tc>
          <w:tcPr>
            <w:tcW w:type="dxa" w:w="2700"/>
            <w:tcMar>
              <w:top w:w="80" w:type="dxa"/>
              <w:bottom w:w="80" w:type="dxa"/>
              <w:start w:w="120" w:type="dxa"/>
              <w:end w:w="120" w:type="dxa"/>
            </w:tcMar>
          </w:tcPr>
          <w:p>
            <w:pPr>
              <w:spacing w:before="0" w:after="0" w:line="252" w:lineRule="auto"/>
              <w:jc w:val="left"/>
            </w:pPr>
            <w:r/>
            <w:r>
              <w:rPr>
                <w:rFonts w:ascii="Calibri" w:hAnsi="Calibri"/>
                <w:b w:val="0"/>
                <w:color w:val="000000"/>
                <w:sz w:val="19"/>
              </w:rPr>
              <w:t>Persist bronze, silver, and gold outputs</w:t>
            </w:r>
          </w:p>
        </w:tc>
        <w:tc>
          <w:tcPr>
            <w:tcW w:type="dxa" w:w="5060"/>
            <w:tcMar>
              <w:top w:w="80" w:type="dxa"/>
              <w:bottom w:w="80" w:type="dxa"/>
              <w:start w:w="120" w:type="dxa"/>
              <w:end w:w="120" w:type="dxa"/>
            </w:tcMar>
          </w:tcPr>
          <w:p>
            <w:pPr>
              <w:spacing w:before="0" w:after="0" w:line="252" w:lineRule="auto"/>
              <w:jc w:val="left"/>
            </w:pPr>
            <w:r/>
            <w:r>
              <w:rPr>
                <w:rFonts w:ascii="Calibri" w:hAnsi="Calibri"/>
                <w:b w:val="0"/>
                <w:color w:val="000000"/>
                <w:sz w:val="19"/>
              </w:rPr>
              <w:t>DuckDB and Parquet support local development; PostgreSQL serves the curated layer</w:t>
            </w:r>
          </w:p>
        </w:tc>
      </w:tr>
      <w:tr>
        <w:trPr/>
        <w:tc>
          <w:tcPr>
            <w:tcW w:type="dxa" w:w="1600"/>
            <w:tcMar>
              <w:top w:w="80" w:type="dxa"/>
              <w:bottom w:w="80" w:type="dxa"/>
              <w:start w:w="120" w:type="dxa"/>
              <w:end w:w="120" w:type="dxa"/>
            </w:tcMar>
          </w:tcPr>
          <w:p>
            <w:pPr>
              <w:spacing w:before="0" w:after="0" w:line="252" w:lineRule="auto"/>
              <w:jc w:val="left"/>
            </w:pPr>
            <w:r/>
            <w:r>
              <w:rPr>
                <w:rFonts w:ascii="Calibri" w:hAnsi="Calibri"/>
                <w:b w:val="0"/>
                <w:color w:val="000000"/>
                <w:sz w:val="19"/>
              </w:rPr>
              <w:t>Serving</w:t>
            </w:r>
          </w:p>
        </w:tc>
        <w:tc>
          <w:tcPr>
            <w:tcW w:type="dxa" w:w="2700"/>
            <w:tcMar>
              <w:top w:w="80" w:type="dxa"/>
              <w:bottom w:w="80" w:type="dxa"/>
              <w:start w:w="120" w:type="dxa"/>
              <w:end w:w="120" w:type="dxa"/>
            </w:tcMar>
          </w:tcPr>
          <w:p>
            <w:pPr>
              <w:spacing w:before="0" w:after="0" w:line="252" w:lineRule="auto"/>
              <w:jc w:val="left"/>
            </w:pPr>
            <w:r/>
            <w:r>
              <w:rPr>
                <w:rFonts w:ascii="Calibri" w:hAnsi="Calibri"/>
                <w:b w:val="0"/>
                <w:color w:val="000000"/>
                <w:sz w:val="19"/>
              </w:rPr>
              <w:t>Expose curated data to users and tools</w:t>
            </w:r>
          </w:p>
        </w:tc>
        <w:tc>
          <w:tcPr>
            <w:tcW w:type="dxa" w:w="5060"/>
            <w:tcMar>
              <w:top w:w="80" w:type="dxa"/>
              <w:bottom w:w="80" w:type="dxa"/>
              <w:start w:w="120" w:type="dxa"/>
              <w:end w:w="120" w:type="dxa"/>
            </w:tcMar>
          </w:tcPr>
          <w:p>
            <w:pPr>
              <w:spacing w:before="0" w:after="0" w:line="252" w:lineRule="auto"/>
              <w:jc w:val="left"/>
            </w:pPr>
            <w:r/>
            <w:r>
              <w:rPr>
                <w:rFonts w:ascii="Calibri" w:hAnsi="Calibri"/>
                <w:b w:val="0"/>
                <w:color w:val="000000"/>
                <w:sz w:val="19"/>
              </w:rPr>
              <w:t>Metabase or an equivalent BI layer consumes the final warehouse tables</w:t>
            </w:r>
          </w:p>
        </w:tc>
      </w:tr>
    </w:tbl>
    <w:p>
      <w:pPr>
        <w:pStyle w:val="Heading1"/>
        <w:keepNext/>
      </w:pPr>
      <w:r>
        <w:t>Data Model</w:t>
      </w:r>
    </w:p>
    <w:p>
      <w:pPr>
        <w:spacing w:before="0" w:after="120" w:line="264" w:lineRule="auto"/>
        <w:jc w:val="left"/>
      </w:pPr>
      <w:r>
        <w:rPr>
          <w:rFonts w:ascii="Calibri" w:hAnsi="Calibri"/>
          <w:b w:val="0"/>
          <w:i w:val="0"/>
          <w:color w:val="000000"/>
          <w:sz w:val="22"/>
        </w:rPr>
        <w:t>The operational model should preserve one record per source entity at the appropriate layer, while the analytics model should favor conformed dimensions and a small number of clean fact-like tables.</w:t>
      </w:r>
    </w:p>
    <w:tbl>
      <w:tblPr>
        <w:tblStyle w:val="TableGrid"/>
        <w:tblW w:type="dxa" w:w="9360"/>
        <w:jc w:val="left"/>
        <w:tblLayout w:type="fixed"/>
        <w:tblLook w:firstColumn="1" w:firstRow="1" w:lastColumn="0" w:lastRow="0" w:noHBand="0" w:noVBand="1" w:val="04A0"/>
        <w:tblInd w:type="dxa" w:w="120"/>
      </w:tblPr>
      <w:tblGrid>
        <w:gridCol w:w="1900"/>
        <w:gridCol w:w="3150"/>
        <w:gridCol w:w="4310"/>
      </w:tblGrid>
      <w:tr>
        <w:trPr/>
        <w:tc>
          <w:tcPr>
            <w:tcW w:type="dxa" w:w="19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20"/>
              </w:rPr>
              <w:t>Model Area</w:t>
            </w:r>
          </w:p>
        </w:tc>
        <w:tc>
          <w:tcPr>
            <w:tcW w:type="dxa" w:w="315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20"/>
              </w:rPr>
              <w:t>Representative Entities</w:t>
            </w:r>
          </w:p>
        </w:tc>
        <w:tc>
          <w:tcPr>
            <w:tcW w:type="dxa" w:w="431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20"/>
              </w:rPr>
              <w:t>Design Intent</w:t>
            </w:r>
          </w:p>
        </w:tc>
      </w:tr>
      <w:tr>
        <w:trPr/>
        <w:tc>
          <w:tcPr>
            <w:tcW w:type="dxa" w:w="1900"/>
            <w:tcMar>
              <w:top w:w="80" w:type="dxa"/>
              <w:bottom w:w="80" w:type="dxa"/>
              <w:start w:w="120" w:type="dxa"/>
              <w:end w:w="120" w:type="dxa"/>
            </w:tcMar>
          </w:tcPr>
          <w:p>
            <w:pPr>
              <w:spacing w:before="0" w:after="0" w:line="252" w:lineRule="auto"/>
              <w:jc w:val="left"/>
            </w:pPr>
            <w:r/>
            <w:r>
              <w:rPr>
                <w:rFonts w:ascii="Calibri" w:hAnsi="Calibri"/>
                <w:b w:val="0"/>
                <w:color w:val="000000"/>
                <w:sz w:val="20"/>
              </w:rPr>
              <w:t>Operational</w:t>
            </w:r>
          </w:p>
        </w:tc>
        <w:tc>
          <w:tcPr>
            <w:tcW w:type="dxa" w:w="3150"/>
            <w:tcMar>
              <w:top w:w="80" w:type="dxa"/>
              <w:bottom w:w="80" w:type="dxa"/>
              <w:start w:w="120" w:type="dxa"/>
              <w:end w:w="120" w:type="dxa"/>
            </w:tcMar>
          </w:tcPr>
          <w:p>
            <w:pPr>
              <w:spacing w:before="0" w:after="0" w:line="252" w:lineRule="auto"/>
              <w:jc w:val="left"/>
            </w:pPr>
            <w:r/>
            <w:r>
              <w:rPr>
                <w:rFonts w:ascii="Calibri" w:hAnsi="Calibri"/>
                <w:b w:val="0"/>
                <w:color w:val="000000"/>
                <w:sz w:val="20"/>
              </w:rPr>
              <w:t>Raw payloads, source records, ingestion logs</w:t>
            </w:r>
          </w:p>
        </w:tc>
        <w:tc>
          <w:tcPr>
            <w:tcW w:type="dxa" w:w="4310"/>
            <w:tcMar>
              <w:top w:w="80" w:type="dxa"/>
              <w:bottom w:w="80" w:type="dxa"/>
              <w:start w:w="120" w:type="dxa"/>
              <w:end w:w="120" w:type="dxa"/>
            </w:tcMar>
          </w:tcPr>
          <w:p>
            <w:pPr>
              <w:spacing w:before="0" w:after="0" w:line="252" w:lineRule="auto"/>
              <w:jc w:val="left"/>
            </w:pPr>
            <w:r/>
            <w:r>
              <w:rPr>
                <w:rFonts w:ascii="Calibri" w:hAnsi="Calibri"/>
                <w:b w:val="0"/>
                <w:color w:val="000000"/>
                <w:sz w:val="20"/>
              </w:rPr>
              <w:t>Track exactly what arrived from each source and when</w:t>
            </w:r>
          </w:p>
        </w:tc>
      </w:tr>
      <w:tr>
        <w:trPr/>
        <w:tc>
          <w:tcPr>
            <w:tcW w:type="dxa" w:w="1900"/>
            <w:tcMar>
              <w:top w:w="80" w:type="dxa"/>
              <w:bottom w:w="80" w:type="dxa"/>
              <w:start w:w="120" w:type="dxa"/>
              <w:end w:w="120" w:type="dxa"/>
            </w:tcMar>
          </w:tcPr>
          <w:p>
            <w:pPr>
              <w:spacing w:before="0" w:after="0" w:line="252" w:lineRule="auto"/>
              <w:jc w:val="left"/>
            </w:pPr>
            <w:r/>
            <w:r>
              <w:rPr>
                <w:rFonts w:ascii="Calibri" w:hAnsi="Calibri"/>
                <w:b w:val="0"/>
                <w:color w:val="000000"/>
                <w:sz w:val="20"/>
              </w:rPr>
              <w:t>Conformed dimensions</w:t>
            </w:r>
          </w:p>
        </w:tc>
        <w:tc>
          <w:tcPr>
            <w:tcW w:type="dxa" w:w="3150"/>
            <w:tcMar>
              <w:top w:w="80" w:type="dxa"/>
              <w:bottom w:w="80" w:type="dxa"/>
              <w:start w:w="120" w:type="dxa"/>
              <w:end w:w="120" w:type="dxa"/>
            </w:tcMar>
          </w:tcPr>
          <w:p>
            <w:pPr>
              <w:spacing w:before="0" w:after="0" w:line="252" w:lineRule="auto"/>
              <w:jc w:val="left"/>
            </w:pPr>
            <w:r/>
            <w:r>
              <w:rPr>
                <w:rFonts w:ascii="Calibri" w:hAnsi="Calibri"/>
                <w:b w:val="0"/>
                <w:color w:val="000000"/>
                <w:sz w:val="20"/>
              </w:rPr>
              <w:t>Study, sample, project, accession, organism</w:t>
            </w:r>
          </w:p>
        </w:tc>
        <w:tc>
          <w:tcPr>
            <w:tcW w:type="dxa" w:w="4310"/>
            <w:tcMar>
              <w:top w:w="80" w:type="dxa"/>
              <w:bottom w:w="80" w:type="dxa"/>
              <w:start w:w="120" w:type="dxa"/>
              <w:end w:w="120" w:type="dxa"/>
            </w:tcMar>
          </w:tcPr>
          <w:p>
            <w:pPr>
              <w:spacing w:before="0" w:after="0" w:line="252" w:lineRule="auto"/>
              <w:jc w:val="left"/>
            </w:pPr>
            <w:r/>
            <w:r>
              <w:rPr>
                <w:rFonts w:ascii="Calibri" w:hAnsi="Calibri"/>
                <w:b w:val="0"/>
                <w:color w:val="000000"/>
                <w:sz w:val="20"/>
              </w:rPr>
              <w:t>Provide consistent lookup keys across the platform</w:t>
            </w:r>
          </w:p>
        </w:tc>
      </w:tr>
      <w:tr>
        <w:trPr/>
        <w:tc>
          <w:tcPr>
            <w:tcW w:type="dxa" w:w="1900"/>
            <w:tcMar>
              <w:top w:w="80" w:type="dxa"/>
              <w:bottom w:w="80" w:type="dxa"/>
              <w:start w:w="120" w:type="dxa"/>
              <w:end w:w="120" w:type="dxa"/>
            </w:tcMar>
          </w:tcPr>
          <w:p>
            <w:pPr>
              <w:spacing w:before="0" w:after="0" w:line="252" w:lineRule="auto"/>
              <w:jc w:val="left"/>
            </w:pPr>
            <w:r/>
            <w:r>
              <w:rPr>
                <w:rFonts w:ascii="Calibri" w:hAnsi="Calibri"/>
                <w:b w:val="0"/>
                <w:color w:val="000000"/>
                <w:sz w:val="20"/>
              </w:rPr>
              <w:t>Analytics outputs</w:t>
            </w:r>
          </w:p>
        </w:tc>
        <w:tc>
          <w:tcPr>
            <w:tcW w:type="dxa" w:w="3150"/>
            <w:tcMar>
              <w:top w:w="80" w:type="dxa"/>
              <w:bottom w:w="80" w:type="dxa"/>
              <w:start w:w="120" w:type="dxa"/>
              <w:end w:w="120" w:type="dxa"/>
            </w:tcMar>
          </w:tcPr>
          <w:p>
            <w:pPr>
              <w:spacing w:before="0" w:after="0" w:line="252" w:lineRule="auto"/>
              <w:jc w:val="left"/>
            </w:pPr>
            <w:r/>
            <w:r>
              <w:rPr>
                <w:rFonts w:ascii="Calibri" w:hAnsi="Calibri"/>
                <w:b w:val="0"/>
                <w:color w:val="000000"/>
                <w:sz w:val="20"/>
              </w:rPr>
              <w:t>Coverage summaries, counts, cross-source joins</w:t>
            </w:r>
          </w:p>
        </w:tc>
        <w:tc>
          <w:tcPr>
            <w:tcW w:type="dxa" w:w="4310"/>
            <w:tcMar>
              <w:top w:w="80" w:type="dxa"/>
              <w:bottom w:w="80" w:type="dxa"/>
              <w:start w:w="120" w:type="dxa"/>
              <w:end w:w="120" w:type="dxa"/>
            </w:tcMar>
          </w:tcPr>
          <w:p>
            <w:pPr>
              <w:spacing w:before="0" w:after="0" w:line="252" w:lineRule="auto"/>
              <w:jc w:val="left"/>
            </w:pPr>
            <w:r/>
            <w:r>
              <w:rPr>
                <w:rFonts w:ascii="Calibri" w:hAnsi="Calibri"/>
                <w:b w:val="0"/>
                <w:color w:val="000000"/>
                <w:sz w:val="20"/>
              </w:rPr>
              <w:t>Make the platform useful for exploration and reporting</w:t>
            </w:r>
          </w:p>
        </w:tc>
      </w:tr>
    </w:tbl>
    <w:p>
      <w:pPr>
        <w:pStyle w:val="Heading1"/>
        <w:keepNext/>
      </w:pPr>
      <w:r>
        <w:t>Technology Decisions</w:t>
      </w:r>
    </w:p>
    <w:tbl>
      <w:tblPr>
        <w:tblStyle w:val="TableGrid"/>
        <w:tblW w:type="dxa" w:w="9360"/>
        <w:jc w:val="left"/>
        <w:tblLayout w:type="fixed"/>
        <w:tblLook w:firstColumn="1" w:firstRow="1" w:lastColumn="0" w:lastRow="0" w:noHBand="0" w:noVBand="1" w:val="04A0"/>
        <w:tblInd w:type="dxa" w:w="120"/>
      </w:tblPr>
      <w:tblGrid>
        <w:gridCol w:w="2000"/>
        <w:gridCol w:w="7360"/>
      </w:tblGrid>
      <w:tr>
        <w:trPr/>
        <w:tc>
          <w:tcPr>
            <w:tcW w:type="dxa" w:w="20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Component</w:t>
            </w:r>
          </w:p>
        </w:tc>
        <w:tc>
          <w:tcPr>
            <w:tcW w:type="dxa" w:w="736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Choice and Rationale</w:t>
            </w:r>
          </w:p>
        </w:tc>
      </w:tr>
      <w:tr>
        <w:trPr/>
        <w:tc>
          <w:tcPr>
            <w:tcW w:type="dxa" w:w="2000"/>
            <w:tcMar>
              <w:top w:w="80" w:type="dxa"/>
              <w:bottom w:w="80" w:type="dxa"/>
              <w:start w:w="120" w:type="dxa"/>
              <w:end w:w="120" w:type="dxa"/>
            </w:tcMar>
          </w:tcPr>
          <w:p>
            <w:pPr>
              <w:spacing w:before="0" w:after="0" w:line="252" w:lineRule="auto"/>
              <w:jc w:val="left"/>
            </w:pPr>
            <w:r/>
            <w:r>
              <w:rPr>
                <w:rFonts w:ascii="Calibri" w:hAnsi="Calibri"/>
                <w:b w:val="0"/>
                <w:color w:val="000000"/>
                <w:sz w:val="19"/>
              </w:rPr>
              <w:t>Python</w:t>
            </w:r>
          </w:p>
        </w:tc>
        <w:tc>
          <w:tcPr>
            <w:tcW w:type="dxa" w:w="7360"/>
            <w:tcMar>
              <w:top w:w="80" w:type="dxa"/>
              <w:bottom w:w="80" w:type="dxa"/>
              <w:start w:w="120" w:type="dxa"/>
              <w:end w:w="120" w:type="dxa"/>
            </w:tcMar>
          </w:tcPr>
          <w:p>
            <w:pPr>
              <w:spacing w:before="0" w:after="0" w:line="252" w:lineRule="auto"/>
              <w:jc w:val="left"/>
            </w:pPr>
            <w:r/>
            <w:r>
              <w:rPr>
                <w:rFonts w:ascii="Calibri" w:hAnsi="Calibri"/>
                <w:b w:val="0"/>
                <w:color w:val="000000"/>
                <w:sz w:val="19"/>
              </w:rPr>
              <w:t>Primary implementation language for orchestration, adapters, and tests because it offers a broad ecosystem and readable code.</w:t>
            </w:r>
          </w:p>
        </w:tc>
      </w:tr>
      <w:tr>
        <w:trPr/>
        <w:tc>
          <w:tcPr>
            <w:tcW w:type="dxa" w:w="2000"/>
            <w:tcMar>
              <w:top w:w="80" w:type="dxa"/>
              <w:bottom w:w="80" w:type="dxa"/>
              <w:start w:w="120" w:type="dxa"/>
              <w:end w:w="120" w:type="dxa"/>
            </w:tcMar>
          </w:tcPr>
          <w:p>
            <w:pPr>
              <w:spacing w:before="0" w:after="0" w:line="252" w:lineRule="auto"/>
              <w:jc w:val="left"/>
            </w:pPr>
            <w:r/>
            <w:r>
              <w:rPr>
                <w:rFonts w:ascii="Calibri" w:hAnsi="Calibri"/>
                <w:b w:val="0"/>
                <w:color w:val="000000"/>
                <w:sz w:val="19"/>
              </w:rPr>
              <w:t>Polars</w:t>
            </w:r>
          </w:p>
        </w:tc>
        <w:tc>
          <w:tcPr>
            <w:tcW w:type="dxa" w:w="7360"/>
            <w:tcMar>
              <w:top w:w="80" w:type="dxa"/>
              <w:bottom w:w="80" w:type="dxa"/>
              <w:start w:w="120" w:type="dxa"/>
              <w:end w:w="120" w:type="dxa"/>
            </w:tcMar>
          </w:tcPr>
          <w:p>
            <w:pPr>
              <w:spacing w:before="0" w:after="0" w:line="252" w:lineRule="auto"/>
              <w:jc w:val="left"/>
            </w:pPr>
            <w:r/>
            <w:r>
              <w:rPr>
                <w:rFonts w:ascii="Calibri" w:hAnsi="Calibri"/>
                <w:b w:val="0"/>
                <w:color w:val="000000"/>
                <w:sz w:val="19"/>
              </w:rPr>
              <w:t>Fast dataframe layer for transformation work with a clean API and good performance on local development hardware.</w:t>
            </w:r>
          </w:p>
        </w:tc>
      </w:tr>
      <w:tr>
        <w:trPr/>
        <w:tc>
          <w:tcPr>
            <w:tcW w:type="dxa" w:w="2000"/>
            <w:tcMar>
              <w:top w:w="80" w:type="dxa"/>
              <w:bottom w:w="80" w:type="dxa"/>
              <w:start w:w="120" w:type="dxa"/>
              <w:end w:w="120" w:type="dxa"/>
            </w:tcMar>
          </w:tcPr>
          <w:p>
            <w:pPr>
              <w:spacing w:before="0" w:after="0" w:line="252" w:lineRule="auto"/>
              <w:jc w:val="left"/>
            </w:pPr>
            <w:r/>
            <w:r>
              <w:rPr>
                <w:rFonts w:ascii="Calibri" w:hAnsi="Calibri"/>
                <w:b w:val="0"/>
                <w:color w:val="000000"/>
                <w:sz w:val="19"/>
              </w:rPr>
              <w:t>DuckDB</w:t>
            </w:r>
          </w:p>
        </w:tc>
        <w:tc>
          <w:tcPr>
            <w:tcW w:type="dxa" w:w="7360"/>
            <w:tcMar>
              <w:top w:w="80" w:type="dxa"/>
              <w:bottom w:w="80" w:type="dxa"/>
              <w:start w:w="120" w:type="dxa"/>
              <w:end w:w="120" w:type="dxa"/>
            </w:tcMar>
          </w:tcPr>
          <w:p>
            <w:pPr>
              <w:spacing w:before="0" w:after="0" w:line="252" w:lineRule="auto"/>
              <w:jc w:val="left"/>
            </w:pPr>
            <w:r/>
            <w:r>
              <w:rPr>
                <w:rFonts w:ascii="Calibri" w:hAnsi="Calibri"/>
                <w:b w:val="0"/>
                <w:color w:val="000000"/>
                <w:sz w:val="19"/>
              </w:rPr>
              <w:t>Local analytical engine for fast iteration on Parquet and exploratory SQL without a heavy setup burden.</w:t>
            </w:r>
          </w:p>
        </w:tc>
      </w:tr>
      <w:tr>
        <w:trPr/>
        <w:tc>
          <w:tcPr>
            <w:tcW w:type="dxa" w:w="2000"/>
            <w:tcMar>
              <w:top w:w="80" w:type="dxa"/>
              <w:bottom w:w="80" w:type="dxa"/>
              <w:start w:w="120" w:type="dxa"/>
              <w:end w:w="120" w:type="dxa"/>
            </w:tcMar>
          </w:tcPr>
          <w:p>
            <w:pPr>
              <w:spacing w:before="0" w:after="0" w:line="252" w:lineRule="auto"/>
              <w:jc w:val="left"/>
            </w:pPr>
            <w:r/>
            <w:r>
              <w:rPr>
                <w:rFonts w:ascii="Calibri" w:hAnsi="Calibri"/>
                <w:b w:val="0"/>
                <w:color w:val="000000"/>
                <w:sz w:val="19"/>
              </w:rPr>
              <w:t>PostgreSQL</w:t>
            </w:r>
          </w:p>
        </w:tc>
        <w:tc>
          <w:tcPr>
            <w:tcW w:type="dxa" w:w="7360"/>
            <w:tcMar>
              <w:top w:w="80" w:type="dxa"/>
              <w:bottom w:w="80" w:type="dxa"/>
              <w:start w:w="120" w:type="dxa"/>
              <w:end w:w="120" w:type="dxa"/>
            </w:tcMar>
          </w:tcPr>
          <w:p>
            <w:pPr>
              <w:spacing w:before="0" w:after="0" w:line="252" w:lineRule="auto"/>
              <w:jc w:val="left"/>
            </w:pPr>
            <w:r/>
            <w:r>
              <w:rPr>
                <w:rFonts w:ascii="Calibri" w:hAnsi="Calibri"/>
                <w:b w:val="0"/>
                <w:color w:val="000000"/>
                <w:sz w:val="19"/>
              </w:rPr>
              <w:t>Curated serving store for stable query access and a familiar production-like data warehouse interface.</w:t>
            </w:r>
          </w:p>
        </w:tc>
      </w:tr>
      <w:tr>
        <w:trPr/>
        <w:tc>
          <w:tcPr>
            <w:tcW w:type="dxa" w:w="2000"/>
            <w:tcMar>
              <w:top w:w="80" w:type="dxa"/>
              <w:bottom w:w="80" w:type="dxa"/>
              <w:start w:w="120" w:type="dxa"/>
              <w:end w:w="120" w:type="dxa"/>
            </w:tcMar>
          </w:tcPr>
          <w:p>
            <w:pPr>
              <w:spacing w:before="0" w:after="0" w:line="252" w:lineRule="auto"/>
              <w:jc w:val="left"/>
            </w:pPr>
            <w:r/>
            <w:r>
              <w:rPr>
                <w:rFonts w:ascii="Calibri" w:hAnsi="Calibri"/>
                <w:b w:val="0"/>
                <w:color w:val="000000"/>
                <w:sz w:val="19"/>
              </w:rPr>
              <w:t>Dagster</w:t>
            </w:r>
          </w:p>
        </w:tc>
        <w:tc>
          <w:tcPr>
            <w:tcW w:type="dxa" w:w="7360"/>
            <w:tcMar>
              <w:top w:w="80" w:type="dxa"/>
              <w:bottom w:w="80" w:type="dxa"/>
              <w:start w:w="120" w:type="dxa"/>
              <w:end w:w="120" w:type="dxa"/>
            </w:tcMar>
          </w:tcPr>
          <w:p>
            <w:pPr>
              <w:spacing w:before="0" w:after="0" w:line="252" w:lineRule="auto"/>
              <w:jc w:val="left"/>
            </w:pPr>
            <w:r/>
            <w:r>
              <w:rPr>
                <w:rFonts w:ascii="Calibri" w:hAnsi="Calibri"/>
                <w:b w:val="0"/>
                <w:color w:val="000000"/>
                <w:sz w:val="19"/>
              </w:rPr>
              <w:t>Pipeline orchestration layer that makes asset lineage and job execution easier to understand.</w:t>
            </w:r>
          </w:p>
        </w:tc>
      </w:tr>
      <w:tr>
        <w:trPr/>
        <w:tc>
          <w:tcPr>
            <w:tcW w:type="dxa" w:w="2000"/>
            <w:tcMar>
              <w:top w:w="80" w:type="dxa"/>
              <w:bottom w:w="80" w:type="dxa"/>
              <w:start w:w="120" w:type="dxa"/>
              <w:end w:w="120" w:type="dxa"/>
            </w:tcMar>
          </w:tcPr>
          <w:p>
            <w:pPr>
              <w:spacing w:before="0" w:after="0" w:line="252" w:lineRule="auto"/>
              <w:jc w:val="left"/>
            </w:pPr>
            <w:r/>
            <w:r>
              <w:rPr>
                <w:rFonts w:ascii="Calibri" w:hAnsi="Calibri"/>
                <w:b w:val="0"/>
                <w:color w:val="000000"/>
                <w:sz w:val="19"/>
              </w:rPr>
              <w:t>Docker</w:t>
            </w:r>
          </w:p>
        </w:tc>
        <w:tc>
          <w:tcPr>
            <w:tcW w:type="dxa" w:w="7360"/>
            <w:tcMar>
              <w:top w:w="80" w:type="dxa"/>
              <w:bottom w:w="80" w:type="dxa"/>
              <w:start w:w="120" w:type="dxa"/>
              <w:end w:w="120" w:type="dxa"/>
            </w:tcMar>
          </w:tcPr>
          <w:p>
            <w:pPr>
              <w:spacing w:before="0" w:after="0" w:line="252" w:lineRule="auto"/>
              <w:jc w:val="left"/>
            </w:pPr>
            <w:r/>
            <w:r>
              <w:rPr>
                <w:rFonts w:ascii="Calibri" w:hAnsi="Calibri"/>
                <w:b w:val="0"/>
                <w:color w:val="000000"/>
                <w:sz w:val="19"/>
              </w:rPr>
              <w:t>Containerization so the environment can be reproduced consistently across machines.</w:t>
            </w:r>
          </w:p>
        </w:tc>
      </w:tr>
      <w:tr>
        <w:trPr/>
        <w:tc>
          <w:tcPr>
            <w:tcW w:type="dxa" w:w="2000"/>
            <w:tcMar>
              <w:top w:w="80" w:type="dxa"/>
              <w:bottom w:w="80" w:type="dxa"/>
              <w:start w:w="120" w:type="dxa"/>
              <w:end w:w="120" w:type="dxa"/>
            </w:tcMar>
          </w:tcPr>
          <w:p>
            <w:pPr>
              <w:spacing w:before="0" w:after="0" w:line="252" w:lineRule="auto"/>
              <w:jc w:val="left"/>
            </w:pPr>
            <w:r/>
            <w:r>
              <w:rPr>
                <w:rFonts w:ascii="Calibri" w:hAnsi="Calibri"/>
                <w:b w:val="0"/>
                <w:color w:val="000000"/>
                <w:sz w:val="19"/>
              </w:rPr>
              <w:t>Pandera and pytest</w:t>
            </w:r>
          </w:p>
        </w:tc>
        <w:tc>
          <w:tcPr>
            <w:tcW w:type="dxa" w:w="7360"/>
            <w:tcMar>
              <w:top w:w="80" w:type="dxa"/>
              <w:bottom w:w="80" w:type="dxa"/>
              <w:start w:w="120" w:type="dxa"/>
              <w:end w:w="120" w:type="dxa"/>
            </w:tcMar>
          </w:tcPr>
          <w:p>
            <w:pPr>
              <w:spacing w:before="0" w:after="0" w:line="252" w:lineRule="auto"/>
              <w:jc w:val="left"/>
            </w:pPr>
            <w:r/>
            <w:r>
              <w:rPr>
                <w:rFonts w:ascii="Calibri" w:hAnsi="Calibri"/>
                <w:b w:val="0"/>
                <w:color w:val="000000"/>
                <w:sz w:val="19"/>
              </w:rPr>
              <w:t>Validation and testing stack that keeps source contracts and transformations under control.</w:t>
            </w:r>
          </w:p>
        </w:tc>
      </w:tr>
      <w:tr>
        <w:trPr/>
        <w:tc>
          <w:tcPr>
            <w:tcW w:type="dxa" w:w="2000"/>
            <w:tcMar>
              <w:top w:w="80" w:type="dxa"/>
              <w:bottom w:w="80" w:type="dxa"/>
              <w:start w:w="120" w:type="dxa"/>
              <w:end w:w="120" w:type="dxa"/>
            </w:tcMar>
          </w:tcPr>
          <w:p>
            <w:pPr>
              <w:spacing w:before="0" w:after="0" w:line="252" w:lineRule="auto"/>
              <w:jc w:val="left"/>
            </w:pPr>
            <w:r/>
            <w:r>
              <w:rPr>
                <w:rFonts w:ascii="Calibri" w:hAnsi="Calibri"/>
                <w:b w:val="0"/>
                <w:color w:val="000000"/>
                <w:sz w:val="19"/>
              </w:rPr>
              <w:t>GitHub Actions</w:t>
            </w:r>
          </w:p>
        </w:tc>
        <w:tc>
          <w:tcPr>
            <w:tcW w:type="dxa" w:w="7360"/>
            <w:tcMar>
              <w:top w:w="80" w:type="dxa"/>
              <w:bottom w:w="80" w:type="dxa"/>
              <w:start w:w="120" w:type="dxa"/>
              <w:end w:w="120" w:type="dxa"/>
            </w:tcMar>
          </w:tcPr>
          <w:p>
            <w:pPr>
              <w:spacing w:before="0" w:after="0" w:line="252" w:lineRule="auto"/>
              <w:jc w:val="left"/>
            </w:pPr>
            <w:r/>
            <w:r>
              <w:rPr>
                <w:rFonts w:ascii="Calibri" w:hAnsi="Calibri"/>
                <w:b w:val="0"/>
                <w:color w:val="000000"/>
                <w:sz w:val="19"/>
              </w:rPr>
              <w:t>CI/CD automation for tests, linting, and repeatable release checks.</w:t>
            </w:r>
          </w:p>
        </w:tc>
      </w:tr>
      <w:tr>
        <w:trPr/>
        <w:tc>
          <w:tcPr>
            <w:tcW w:type="dxa" w:w="2000"/>
            <w:tcMar>
              <w:top w:w="80" w:type="dxa"/>
              <w:bottom w:w="80" w:type="dxa"/>
              <w:start w:w="120" w:type="dxa"/>
              <w:end w:w="120" w:type="dxa"/>
            </w:tcMar>
          </w:tcPr>
          <w:p>
            <w:pPr>
              <w:spacing w:before="0" w:after="0" w:line="252" w:lineRule="auto"/>
              <w:jc w:val="left"/>
            </w:pPr>
            <w:r/>
            <w:r>
              <w:rPr>
                <w:rFonts w:ascii="Calibri" w:hAnsi="Calibri"/>
                <w:b w:val="0"/>
                <w:color w:val="000000"/>
                <w:sz w:val="19"/>
              </w:rPr>
              <w:t>Metabase</w:t>
            </w:r>
          </w:p>
        </w:tc>
        <w:tc>
          <w:tcPr>
            <w:tcW w:type="dxa" w:w="7360"/>
            <w:tcMar>
              <w:top w:w="80" w:type="dxa"/>
              <w:bottom w:w="80" w:type="dxa"/>
              <w:start w:w="120" w:type="dxa"/>
              <w:end w:w="120" w:type="dxa"/>
            </w:tcMar>
          </w:tcPr>
          <w:p>
            <w:pPr>
              <w:spacing w:before="0" w:after="0" w:line="252" w:lineRule="auto"/>
              <w:jc w:val="left"/>
            </w:pPr>
            <w:r/>
            <w:r>
              <w:rPr>
                <w:rFonts w:ascii="Calibri" w:hAnsi="Calibri"/>
                <w:b w:val="0"/>
                <w:color w:val="000000"/>
                <w:sz w:val="19"/>
              </w:rPr>
              <w:t>Simple BI and exploration layer for an accessible end-user view of the curated data.</w:t>
            </w:r>
          </w:p>
        </w:tc>
      </w:tr>
    </w:tbl>
    <w:p>
      <w:pPr>
        <w:pStyle w:val="Heading1"/>
        <w:keepNext/>
      </w:pPr>
      <w:r>
        <w:t>Quality and Observability</w:t>
      </w:r>
    </w:p>
    <w:tbl>
      <w:tblPr>
        <w:tblStyle w:val="TableGrid"/>
        <w:tblW w:type="dxa" w:w="9360"/>
        <w:jc w:val="left"/>
        <w:tblLayout w:type="fixed"/>
        <w:tblLook w:firstColumn="1" w:firstRow="1" w:lastColumn="0" w:lastRow="0" w:noHBand="0" w:noVBand="1" w:val="04A0"/>
        <w:tblInd w:type="dxa" w:w="120"/>
      </w:tblPr>
      <w:tblGrid>
        <w:gridCol w:w="1700"/>
        <w:gridCol w:w="7660"/>
      </w:tblGrid>
      <w:tr>
        <w:trPr/>
        <w:tc>
          <w:tcPr>
            <w:tcW w:type="dxa" w:w="17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Field</w:t>
            </w:r>
          </w:p>
        </w:tc>
        <w:tc>
          <w:tcPr>
            <w:tcW w:type="dxa" w:w="766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Details</w:t>
            </w:r>
          </w:p>
        </w:tc>
      </w:tr>
      <w:tr>
        <w:trPr/>
        <w:tc>
          <w:tcPr>
            <w:tcW w:type="dxa" w:w="1700"/>
            <w:tcMar>
              <w:top w:w="80" w:type="dxa"/>
              <w:bottom w:w="80" w:type="dxa"/>
              <w:start w:w="120" w:type="dxa"/>
              <w:end w:w="120" w:type="dxa"/>
            </w:tcMar>
          </w:tcPr>
          <w:p>
            <w:pPr>
              <w:spacing w:before="0" w:after="0" w:line="252" w:lineRule="auto"/>
              <w:jc w:val="left"/>
            </w:pPr>
            <w:r/>
            <w:r>
              <w:rPr>
                <w:rFonts w:ascii="Calibri" w:hAnsi="Calibri"/>
                <w:b w:val="0"/>
                <w:color w:val="000000"/>
                <w:sz w:val="19"/>
              </w:rPr>
              <w:t>Validation</w:t>
            </w:r>
          </w:p>
        </w:tc>
        <w:tc>
          <w:tcPr>
            <w:tcW w:type="dxa" w:w="7660"/>
            <w:tcMar>
              <w:top w:w="80" w:type="dxa"/>
              <w:bottom w:w="80" w:type="dxa"/>
              <w:start w:w="120" w:type="dxa"/>
              <w:end w:w="120" w:type="dxa"/>
            </w:tcMar>
          </w:tcPr>
          <w:p>
            <w:pPr>
              <w:spacing w:before="0" w:after="0" w:line="252" w:lineRule="auto"/>
              <w:jc w:val="left"/>
            </w:pPr>
            <w:r/>
            <w:r>
              <w:rPr>
                <w:rFonts w:ascii="Calibri" w:hAnsi="Calibri"/>
                <w:b w:val="0"/>
                <w:color w:val="000000"/>
                <w:sz w:val="19"/>
              </w:rPr>
              <w:t>Schema and rule checks should run at ingestion and again after normalization so bad data is caught early.</w:t>
            </w:r>
          </w:p>
        </w:tc>
      </w:tr>
      <w:tr>
        <w:trPr/>
        <w:tc>
          <w:tcPr>
            <w:tcW w:type="dxa" w:w="1700"/>
            <w:tcMar>
              <w:top w:w="80" w:type="dxa"/>
              <w:bottom w:w="80" w:type="dxa"/>
              <w:start w:w="120" w:type="dxa"/>
              <w:end w:w="120" w:type="dxa"/>
            </w:tcMar>
          </w:tcPr>
          <w:p>
            <w:pPr>
              <w:spacing w:before="0" w:after="0" w:line="252" w:lineRule="auto"/>
              <w:jc w:val="left"/>
            </w:pPr>
            <w:r/>
            <w:r>
              <w:rPr>
                <w:rFonts w:ascii="Calibri" w:hAnsi="Calibri"/>
                <w:b w:val="0"/>
                <w:color w:val="000000"/>
                <w:sz w:val="19"/>
              </w:rPr>
              <w:t>Testing</w:t>
            </w:r>
          </w:p>
        </w:tc>
        <w:tc>
          <w:tcPr>
            <w:tcW w:type="dxa" w:w="7660"/>
            <w:tcMar>
              <w:top w:w="80" w:type="dxa"/>
              <w:bottom w:w="80" w:type="dxa"/>
              <w:start w:w="120" w:type="dxa"/>
              <w:end w:w="120" w:type="dxa"/>
            </w:tcMar>
          </w:tcPr>
          <w:p>
            <w:pPr>
              <w:spacing w:before="0" w:after="0" w:line="252" w:lineRule="auto"/>
              <w:jc w:val="left"/>
            </w:pPr>
            <w:r/>
            <w:r>
              <w:rPr>
                <w:rFonts w:ascii="Calibri" w:hAnsi="Calibri"/>
                <w:b w:val="0"/>
                <w:color w:val="000000"/>
                <w:sz w:val="19"/>
              </w:rPr>
              <w:t>Unit tests should cover adapters and transforms, while integration tests should prove that the pipeline can run end to end.</w:t>
            </w:r>
          </w:p>
        </w:tc>
      </w:tr>
      <w:tr>
        <w:trPr/>
        <w:tc>
          <w:tcPr>
            <w:tcW w:type="dxa" w:w="1700"/>
            <w:tcMar>
              <w:top w:w="80" w:type="dxa"/>
              <w:bottom w:w="80" w:type="dxa"/>
              <w:start w:w="120" w:type="dxa"/>
              <w:end w:w="120" w:type="dxa"/>
            </w:tcMar>
          </w:tcPr>
          <w:p>
            <w:pPr>
              <w:spacing w:before="0" w:after="0" w:line="252" w:lineRule="auto"/>
              <w:jc w:val="left"/>
            </w:pPr>
            <w:r/>
            <w:r>
              <w:rPr>
                <w:rFonts w:ascii="Calibri" w:hAnsi="Calibri"/>
                <w:b w:val="0"/>
                <w:color w:val="000000"/>
                <w:sz w:val="19"/>
              </w:rPr>
              <w:t>Logging</w:t>
            </w:r>
          </w:p>
        </w:tc>
        <w:tc>
          <w:tcPr>
            <w:tcW w:type="dxa" w:w="7660"/>
            <w:tcMar>
              <w:top w:w="80" w:type="dxa"/>
              <w:bottom w:w="80" w:type="dxa"/>
              <w:start w:w="120" w:type="dxa"/>
              <w:end w:w="120" w:type="dxa"/>
            </w:tcMar>
          </w:tcPr>
          <w:p>
            <w:pPr>
              <w:spacing w:before="0" w:after="0" w:line="252" w:lineRule="auto"/>
              <w:jc w:val="left"/>
            </w:pPr>
            <w:r/>
            <w:r>
              <w:rPr>
                <w:rFonts w:ascii="Calibri" w:hAnsi="Calibri"/>
                <w:b w:val="0"/>
                <w:color w:val="000000"/>
                <w:sz w:val="19"/>
              </w:rPr>
              <w:t>Logs should identify the source, stage, and accession or record set that triggered an issue.</w:t>
            </w:r>
          </w:p>
        </w:tc>
      </w:tr>
      <w:tr>
        <w:trPr/>
        <w:tc>
          <w:tcPr>
            <w:tcW w:type="dxa" w:w="1700"/>
            <w:tcMar>
              <w:top w:w="80" w:type="dxa"/>
              <w:bottom w:w="80" w:type="dxa"/>
              <w:start w:w="120" w:type="dxa"/>
              <w:end w:w="120" w:type="dxa"/>
            </w:tcMar>
          </w:tcPr>
          <w:p>
            <w:pPr>
              <w:spacing w:before="0" w:after="0" w:line="252" w:lineRule="auto"/>
              <w:jc w:val="left"/>
            </w:pPr>
            <w:r/>
            <w:r>
              <w:rPr>
                <w:rFonts w:ascii="Calibri" w:hAnsi="Calibri"/>
                <w:b w:val="0"/>
                <w:color w:val="000000"/>
                <w:sz w:val="19"/>
              </w:rPr>
              <w:t>Metrics</w:t>
            </w:r>
          </w:p>
        </w:tc>
        <w:tc>
          <w:tcPr>
            <w:tcW w:type="dxa" w:w="7660"/>
            <w:tcMar>
              <w:top w:w="80" w:type="dxa"/>
              <w:bottom w:w="80" w:type="dxa"/>
              <w:start w:w="120" w:type="dxa"/>
              <w:end w:w="120" w:type="dxa"/>
            </w:tcMar>
          </w:tcPr>
          <w:p>
            <w:pPr>
              <w:spacing w:before="0" w:after="0" w:line="252" w:lineRule="auto"/>
              <w:jc w:val="left"/>
            </w:pPr>
            <w:r/>
            <w:r>
              <w:rPr>
                <w:rFonts w:ascii="Calibri" w:hAnsi="Calibri"/>
                <w:b w:val="0"/>
                <w:color w:val="000000"/>
                <w:sz w:val="19"/>
              </w:rPr>
              <w:t>Record counts, failure counts, and freshness checks should make pipeline health visible.</w:t>
            </w:r>
          </w:p>
        </w:tc>
      </w:tr>
      <w:tr>
        <w:trPr/>
        <w:tc>
          <w:tcPr>
            <w:tcW w:type="dxa" w:w="1700"/>
            <w:tcMar>
              <w:top w:w="80" w:type="dxa"/>
              <w:bottom w:w="80" w:type="dxa"/>
              <w:start w:w="120" w:type="dxa"/>
              <w:end w:w="120" w:type="dxa"/>
            </w:tcMar>
          </w:tcPr>
          <w:p>
            <w:pPr>
              <w:spacing w:before="0" w:after="0" w:line="252" w:lineRule="auto"/>
              <w:jc w:val="left"/>
            </w:pPr>
            <w:r/>
            <w:r>
              <w:rPr>
                <w:rFonts w:ascii="Calibri" w:hAnsi="Calibri"/>
                <w:b w:val="0"/>
                <w:color w:val="000000"/>
                <w:sz w:val="19"/>
              </w:rPr>
              <w:t>Lineage</w:t>
            </w:r>
          </w:p>
        </w:tc>
        <w:tc>
          <w:tcPr>
            <w:tcW w:type="dxa" w:w="7660"/>
            <w:tcMar>
              <w:top w:w="80" w:type="dxa"/>
              <w:bottom w:w="80" w:type="dxa"/>
              <w:start w:w="120" w:type="dxa"/>
              <w:end w:w="120" w:type="dxa"/>
            </w:tcMar>
          </w:tcPr>
          <w:p>
            <w:pPr>
              <w:spacing w:before="0" w:after="0" w:line="252" w:lineRule="auto"/>
              <w:jc w:val="left"/>
            </w:pPr>
            <w:r/>
            <w:r>
              <w:rPr>
                <w:rFonts w:ascii="Calibri" w:hAnsi="Calibri"/>
                <w:b w:val="0"/>
                <w:color w:val="000000"/>
                <w:sz w:val="19"/>
              </w:rPr>
              <w:t>The project should preserve enough metadata to answer where a curated record came from and how it was derived.</w:t>
            </w:r>
          </w:p>
        </w:tc>
      </w:tr>
    </w:tbl>
    <w:p>
      <w:pPr>
        <w:pStyle w:val="Heading1"/>
        <w:keepNext/>
      </w:pPr>
      <w:r>
        <w:t>Deployment and Operations</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c>
          <w:tcPr>
            <w:tcW w:type="dxa" w:w="18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Area</w:t>
            </w:r>
          </w:p>
        </w:tc>
        <w:tc>
          <w:tcPr>
            <w:tcW w:type="dxa" w:w="756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Planned Approach</w:t>
            </w:r>
          </w:p>
        </w:tc>
      </w:tr>
      <w:tr>
        <w:trPr/>
        <w:tc>
          <w:tcPr>
            <w:tcW w:type="dxa" w:w="1800"/>
            <w:tcMar>
              <w:top w:w="80" w:type="dxa"/>
              <w:bottom w:w="80" w:type="dxa"/>
              <w:start w:w="120" w:type="dxa"/>
              <w:end w:w="120" w:type="dxa"/>
            </w:tcMar>
          </w:tcPr>
          <w:p>
            <w:pPr>
              <w:spacing w:before="0" w:after="0" w:line="252" w:lineRule="auto"/>
              <w:jc w:val="left"/>
            </w:pPr>
            <w:r/>
            <w:r>
              <w:rPr>
                <w:rFonts w:ascii="Calibri" w:hAnsi="Calibri"/>
                <w:b w:val="0"/>
                <w:color w:val="000000"/>
                <w:sz w:val="19"/>
              </w:rPr>
              <w:t>Local development</w:t>
            </w:r>
          </w:p>
        </w:tc>
        <w:tc>
          <w:tcPr>
            <w:tcW w:type="dxa" w:w="7560"/>
            <w:tcMar>
              <w:top w:w="80" w:type="dxa"/>
              <w:bottom w:w="80" w:type="dxa"/>
              <w:start w:w="120" w:type="dxa"/>
              <w:end w:w="120" w:type="dxa"/>
            </w:tcMar>
          </w:tcPr>
          <w:p>
            <w:pPr>
              <w:spacing w:before="0" w:after="0" w:line="252" w:lineRule="auto"/>
              <w:jc w:val="left"/>
            </w:pPr>
            <w:r/>
            <w:r>
              <w:rPr>
                <w:rFonts w:ascii="Calibri" w:hAnsi="Calibri"/>
                <w:b w:val="0"/>
                <w:color w:val="000000"/>
                <w:sz w:val="19"/>
              </w:rPr>
              <w:t>Docker Compose provides the database, orchestration, and supporting services for repeatable local runs.</w:t>
            </w:r>
          </w:p>
        </w:tc>
      </w:tr>
      <w:tr>
        <w:trPr/>
        <w:tc>
          <w:tcPr>
            <w:tcW w:type="dxa" w:w="1800"/>
            <w:tcMar>
              <w:top w:w="80" w:type="dxa"/>
              <w:bottom w:w="80" w:type="dxa"/>
              <w:start w:w="120" w:type="dxa"/>
              <w:end w:w="120" w:type="dxa"/>
            </w:tcMar>
          </w:tcPr>
          <w:p>
            <w:pPr>
              <w:spacing w:before="0" w:after="0" w:line="252" w:lineRule="auto"/>
              <w:jc w:val="left"/>
            </w:pPr>
            <w:r/>
            <w:r>
              <w:rPr>
                <w:rFonts w:ascii="Calibri" w:hAnsi="Calibri"/>
                <w:b w:val="0"/>
                <w:color w:val="000000"/>
                <w:sz w:val="19"/>
              </w:rPr>
              <w:t>Packaging</w:t>
            </w:r>
          </w:p>
        </w:tc>
        <w:tc>
          <w:tcPr>
            <w:tcW w:type="dxa" w:w="7560"/>
            <w:tcMar>
              <w:top w:w="80" w:type="dxa"/>
              <w:bottom w:w="80" w:type="dxa"/>
              <w:start w:w="120" w:type="dxa"/>
              <w:end w:w="120" w:type="dxa"/>
            </w:tcMar>
          </w:tcPr>
          <w:p>
            <w:pPr>
              <w:spacing w:before="0" w:after="0" w:line="252" w:lineRule="auto"/>
              <w:jc w:val="left"/>
            </w:pPr>
            <w:r/>
            <w:r>
              <w:rPr>
                <w:rFonts w:ascii="Calibri" w:hAnsi="Calibri"/>
                <w:b w:val="0"/>
                <w:color w:val="000000"/>
                <w:sz w:val="19"/>
              </w:rPr>
              <w:t>The repository should include clear environment instructions and scripts for reproducible setup.</w:t>
            </w:r>
          </w:p>
        </w:tc>
      </w:tr>
      <w:tr>
        <w:trPr/>
        <w:tc>
          <w:tcPr>
            <w:tcW w:type="dxa" w:w="1800"/>
            <w:tcMar>
              <w:top w:w="80" w:type="dxa"/>
              <w:bottom w:w="80" w:type="dxa"/>
              <w:start w:w="120" w:type="dxa"/>
              <w:end w:w="120" w:type="dxa"/>
            </w:tcMar>
          </w:tcPr>
          <w:p>
            <w:pPr>
              <w:spacing w:before="0" w:after="0" w:line="252" w:lineRule="auto"/>
              <w:jc w:val="left"/>
            </w:pPr>
            <w:r/>
            <w:r>
              <w:rPr>
                <w:rFonts w:ascii="Calibri" w:hAnsi="Calibri"/>
                <w:b w:val="0"/>
                <w:color w:val="000000"/>
                <w:sz w:val="19"/>
              </w:rPr>
              <w:t>CI</w:t>
            </w:r>
          </w:p>
        </w:tc>
        <w:tc>
          <w:tcPr>
            <w:tcW w:type="dxa" w:w="7560"/>
            <w:tcMar>
              <w:top w:w="80" w:type="dxa"/>
              <w:bottom w:w="80" w:type="dxa"/>
              <w:start w:w="120" w:type="dxa"/>
              <w:end w:w="120" w:type="dxa"/>
            </w:tcMar>
          </w:tcPr>
          <w:p>
            <w:pPr>
              <w:spacing w:before="0" w:after="0" w:line="252" w:lineRule="auto"/>
              <w:jc w:val="left"/>
            </w:pPr>
            <w:r/>
            <w:r>
              <w:rPr>
                <w:rFonts w:ascii="Calibri" w:hAnsi="Calibri"/>
                <w:b w:val="0"/>
                <w:color w:val="000000"/>
                <w:sz w:val="19"/>
              </w:rPr>
              <w:t>GitHub Actions runs tests and validation checks on each meaningful change.</w:t>
            </w:r>
          </w:p>
        </w:tc>
      </w:tr>
      <w:tr>
        <w:trPr/>
        <w:tc>
          <w:tcPr>
            <w:tcW w:type="dxa" w:w="1800"/>
            <w:tcMar>
              <w:top w:w="80" w:type="dxa"/>
              <w:bottom w:w="80" w:type="dxa"/>
              <w:start w:w="120" w:type="dxa"/>
              <w:end w:w="120" w:type="dxa"/>
            </w:tcMar>
          </w:tcPr>
          <w:p>
            <w:pPr>
              <w:spacing w:before="0" w:after="0" w:line="252" w:lineRule="auto"/>
              <w:jc w:val="left"/>
            </w:pPr>
            <w:r/>
            <w:r>
              <w:rPr>
                <w:rFonts w:ascii="Calibri" w:hAnsi="Calibri"/>
                <w:b w:val="0"/>
                <w:color w:val="000000"/>
                <w:sz w:val="19"/>
              </w:rPr>
              <w:t>Promotion path</w:t>
            </w:r>
          </w:p>
        </w:tc>
        <w:tc>
          <w:tcPr>
            <w:tcW w:type="dxa" w:w="7560"/>
            <w:tcMar>
              <w:top w:w="80" w:type="dxa"/>
              <w:bottom w:w="80" w:type="dxa"/>
              <w:start w:w="120" w:type="dxa"/>
              <w:end w:w="120" w:type="dxa"/>
            </w:tcMar>
          </w:tcPr>
          <w:p>
            <w:pPr>
              <w:spacing w:before="0" w:after="0" w:line="252" w:lineRule="auto"/>
              <w:jc w:val="left"/>
            </w:pPr>
            <w:r/>
            <w:r>
              <w:rPr>
                <w:rFonts w:ascii="Calibri" w:hAnsi="Calibri"/>
                <w:b w:val="0"/>
                <w:color w:val="000000"/>
                <w:sz w:val="19"/>
              </w:rPr>
              <w:t>The project can begin with a local-first workflow and later extend to a cloud deployment if needed.</w:t>
            </w:r>
          </w:p>
        </w:tc>
      </w:tr>
    </w:tbl>
    <w:p>
      <w:pPr>
        <w:pStyle w:val="Heading1"/>
        <w:keepNext/>
      </w:pPr>
      <w:r>
        <w:t>Twelve-Week Roadmap</w:t>
      </w:r>
    </w:p>
    <w:tbl>
      <w:tblPr>
        <w:tblStyle w:val="TableGrid"/>
        <w:tblW w:type="dxa" w:w="9360"/>
        <w:jc w:val="left"/>
        <w:tblLayout w:type="fixed"/>
        <w:tblLook w:firstColumn="1" w:firstRow="1" w:lastColumn="0" w:lastRow="0" w:noHBand="0" w:noVBand="1" w:val="04A0"/>
        <w:tblInd w:type="dxa" w:w="120"/>
      </w:tblPr>
      <w:tblGrid>
        <w:gridCol w:w="1300"/>
        <w:gridCol w:w="4150"/>
        <w:gridCol w:w="3910"/>
      </w:tblGrid>
      <w:tr>
        <w:trPr/>
        <w:tc>
          <w:tcPr>
            <w:tcW w:type="dxa" w:w="130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Window</w:t>
            </w:r>
          </w:p>
        </w:tc>
        <w:tc>
          <w:tcPr>
            <w:tcW w:type="dxa" w:w="415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Milestone</w:t>
            </w:r>
          </w:p>
        </w:tc>
        <w:tc>
          <w:tcPr>
            <w:tcW w:type="dxa" w:w="3910"/>
            <w:shd w:fill="E8EEF5" w:val="clear"/>
            <w:tcMar>
              <w:top w:w="80" w:type="dxa"/>
              <w:bottom w:w="80" w:type="dxa"/>
              <w:start w:w="120" w:type="dxa"/>
              <w:end w:w="120" w:type="dxa"/>
            </w:tcMar>
          </w:tcPr>
          <w:p>
            <w:pPr>
              <w:spacing w:before="0" w:after="0" w:line="252" w:lineRule="auto"/>
              <w:jc w:val="left"/>
            </w:pPr>
            <w:r/>
            <w:r>
              <w:rPr>
                <w:rFonts w:ascii="Calibri" w:hAnsi="Calibri"/>
                <w:b/>
                <w:color w:val="000000"/>
                <w:sz w:val="19"/>
              </w:rPr>
              <w:t>Outcome</w:t>
            </w:r>
          </w:p>
        </w:tc>
      </w:tr>
      <w:tr>
        <w:trPr/>
        <w:tc>
          <w:tcPr>
            <w:tcW w:type="dxa" w:w="1300"/>
            <w:tcMar>
              <w:top w:w="80" w:type="dxa"/>
              <w:bottom w:w="80" w:type="dxa"/>
              <w:start w:w="120" w:type="dxa"/>
              <w:end w:w="120" w:type="dxa"/>
            </w:tcMar>
          </w:tcPr>
          <w:p>
            <w:pPr>
              <w:spacing w:before="0" w:after="0" w:line="252" w:lineRule="auto"/>
              <w:jc w:val="left"/>
            </w:pPr>
            <w:r/>
            <w:r>
              <w:rPr>
                <w:rFonts w:ascii="Calibri" w:hAnsi="Calibri"/>
                <w:b w:val="0"/>
                <w:color w:val="000000"/>
                <w:sz w:val="19"/>
              </w:rPr>
              <w:t>Weeks 1-2</w:t>
            </w:r>
          </w:p>
        </w:tc>
        <w:tc>
          <w:tcPr>
            <w:tcW w:type="dxa" w:w="4150"/>
            <w:tcMar>
              <w:top w:w="80" w:type="dxa"/>
              <w:bottom w:w="80" w:type="dxa"/>
              <w:start w:w="120" w:type="dxa"/>
              <w:end w:w="120" w:type="dxa"/>
            </w:tcMar>
          </w:tcPr>
          <w:p>
            <w:pPr>
              <w:spacing w:before="0" w:after="0" w:line="252" w:lineRule="auto"/>
              <w:jc w:val="left"/>
            </w:pPr>
            <w:r/>
            <w:r>
              <w:rPr>
                <w:rFonts w:ascii="Calibri" w:hAnsi="Calibri"/>
                <w:b w:val="0"/>
                <w:color w:val="000000"/>
                <w:sz w:val="19"/>
              </w:rPr>
              <w:t>Repository foundation and environment setup</w:t>
            </w:r>
          </w:p>
        </w:tc>
        <w:tc>
          <w:tcPr>
            <w:tcW w:type="dxa" w:w="3910"/>
            <w:tcMar>
              <w:top w:w="80" w:type="dxa"/>
              <w:bottom w:w="80" w:type="dxa"/>
              <w:start w:w="120" w:type="dxa"/>
              <w:end w:w="120" w:type="dxa"/>
            </w:tcMar>
          </w:tcPr>
          <w:p>
            <w:pPr>
              <w:spacing w:before="0" w:after="0" w:line="252" w:lineRule="auto"/>
              <w:jc w:val="left"/>
            </w:pPr>
            <w:r/>
            <w:r>
              <w:rPr>
                <w:rFonts w:ascii="Calibri" w:hAnsi="Calibri"/>
                <w:b w:val="0"/>
                <w:color w:val="000000"/>
                <w:sz w:val="19"/>
              </w:rPr>
              <w:t>The project structure, dependencies, and documentation conventions are in place</w:t>
            </w:r>
          </w:p>
        </w:tc>
      </w:tr>
      <w:tr>
        <w:trPr/>
        <w:tc>
          <w:tcPr>
            <w:tcW w:type="dxa" w:w="1300"/>
            <w:tcMar>
              <w:top w:w="80" w:type="dxa"/>
              <w:bottom w:w="80" w:type="dxa"/>
              <w:start w:w="120" w:type="dxa"/>
              <w:end w:w="120" w:type="dxa"/>
            </w:tcMar>
          </w:tcPr>
          <w:p>
            <w:pPr>
              <w:spacing w:before="0" w:after="0" w:line="252" w:lineRule="auto"/>
              <w:jc w:val="left"/>
            </w:pPr>
            <w:r/>
            <w:r>
              <w:rPr>
                <w:rFonts w:ascii="Calibri" w:hAnsi="Calibri"/>
                <w:b w:val="0"/>
                <w:color w:val="000000"/>
                <w:sz w:val="19"/>
              </w:rPr>
              <w:t>Weeks 3-4</w:t>
            </w:r>
          </w:p>
        </w:tc>
        <w:tc>
          <w:tcPr>
            <w:tcW w:type="dxa" w:w="4150"/>
            <w:tcMar>
              <w:top w:w="80" w:type="dxa"/>
              <w:bottom w:w="80" w:type="dxa"/>
              <w:start w:w="120" w:type="dxa"/>
              <w:end w:w="120" w:type="dxa"/>
            </w:tcMar>
          </w:tcPr>
          <w:p>
            <w:pPr>
              <w:spacing w:before="0" w:after="0" w:line="252" w:lineRule="auto"/>
              <w:jc w:val="left"/>
            </w:pPr>
            <w:r/>
            <w:r>
              <w:rPr>
                <w:rFonts w:ascii="Calibri" w:hAnsi="Calibri"/>
                <w:b w:val="0"/>
                <w:color w:val="000000"/>
                <w:sz w:val="19"/>
              </w:rPr>
              <w:t>First source ingestion and raw landing zone</w:t>
            </w:r>
          </w:p>
        </w:tc>
        <w:tc>
          <w:tcPr>
            <w:tcW w:type="dxa" w:w="3910"/>
            <w:tcMar>
              <w:top w:w="80" w:type="dxa"/>
              <w:bottom w:w="80" w:type="dxa"/>
              <w:start w:w="120" w:type="dxa"/>
              <w:end w:w="120" w:type="dxa"/>
            </w:tcMar>
          </w:tcPr>
          <w:p>
            <w:pPr>
              <w:spacing w:before="0" w:after="0" w:line="252" w:lineRule="auto"/>
              <w:jc w:val="left"/>
            </w:pPr>
            <w:r/>
            <w:r>
              <w:rPr>
                <w:rFonts w:ascii="Calibri" w:hAnsi="Calibri"/>
                <w:b w:val="0"/>
                <w:color w:val="000000"/>
                <w:sz w:val="19"/>
              </w:rPr>
              <w:t>At least one public source can be fetched and stored reproducibly</w:t>
            </w:r>
          </w:p>
        </w:tc>
      </w:tr>
      <w:tr>
        <w:trPr/>
        <w:tc>
          <w:tcPr>
            <w:tcW w:type="dxa" w:w="1300"/>
            <w:tcMar>
              <w:top w:w="80" w:type="dxa"/>
              <w:bottom w:w="80" w:type="dxa"/>
              <w:start w:w="120" w:type="dxa"/>
              <w:end w:w="120" w:type="dxa"/>
            </w:tcMar>
          </w:tcPr>
          <w:p>
            <w:pPr>
              <w:spacing w:before="0" w:after="0" w:line="252" w:lineRule="auto"/>
              <w:jc w:val="left"/>
            </w:pPr>
            <w:r/>
            <w:r>
              <w:rPr>
                <w:rFonts w:ascii="Calibri" w:hAnsi="Calibri"/>
                <w:b w:val="0"/>
                <w:color w:val="000000"/>
                <w:sz w:val="19"/>
              </w:rPr>
              <w:t>Weeks 5-6</w:t>
            </w:r>
          </w:p>
        </w:tc>
        <w:tc>
          <w:tcPr>
            <w:tcW w:type="dxa" w:w="4150"/>
            <w:tcMar>
              <w:top w:w="80" w:type="dxa"/>
              <w:bottom w:w="80" w:type="dxa"/>
              <w:start w:w="120" w:type="dxa"/>
              <w:end w:w="120" w:type="dxa"/>
            </w:tcMar>
          </w:tcPr>
          <w:p>
            <w:pPr>
              <w:spacing w:before="0" w:after="0" w:line="252" w:lineRule="auto"/>
              <w:jc w:val="left"/>
            </w:pPr>
            <w:r/>
            <w:r>
              <w:rPr>
                <w:rFonts w:ascii="Calibri" w:hAnsi="Calibri"/>
                <w:b w:val="0"/>
                <w:color w:val="000000"/>
                <w:sz w:val="19"/>
              </w:rPr>
              <w:t>Bronze and silver transformations</w:t>
            </w:r>
          </w:p>
        </w:tc>
        <w:tc>
          <w:tcPr>
            <w:tcW w:type="dxa" w:w="3910"/>
            <w:tcMar>
              <w:top w:w="80" w:type="dxa"/>
              <w:bottom w:w="80" w:type="dxa"/>
              <w:start w:w="120" w:type="dxa"/>
              <w:end w:w="120" w:type="dxa"/>
            </w:tcMar>
          </w:tcPr>
          <w:p>
            <w:pPr>
              <w:spacing w:before="0" w:after="0" w:line="252" w:lineRule="auto"/>
              <w:jc w:val="left"/>
            </w:pPr>
            <w:r/>
            <w:r>
              <w:rPr>
                <w:rFonts w:ascii="Calibri" w:hAnsi="Calibri"/>
                <w:b w:val="0"/>
                <w:color w:val="000000"/>
                <w:sz w:val="19"/>
              </w:rPr>
              <w:t>A shared schema begins to emerge across sources</w:t>
            </w:r>
          </w:p>
        </w:tc>
      </w:tr>
      <w:tr>
        <w:trPr/>
        <w:tc>
          <w:tcPr>
            <w:tcW w:type="dxa" w:w="1300"/>
            <w:tcMar>
              <w:top w:w="80" w:type="dxa"/>
              <w:bottom w:w="80" w:type="dxa"/>
              <w:start w:w="120" w:type="dxa"/>
              <w:end w:w="120" w:type="dxa"/>
            </w:tcMar>
          </w:tcPr>
          <w:p>
            <w:pPr>
              <w:spacing w:before="0" w:after="0" w:line="252" w:lineRule="auto"/>
              <w:jc w:val="left"/>
            </w:pPr>
            <w:r/>
            <w:r>
              <w:rPr>
                <w:rFonts w:ascii="Calibri" w:hAnsi="Calibri"/>
                <w:b w:val="0"/>
                <w:color w:val="000000"/>
                <w:sz w:val="19"/>
              </w:rPr>
              <w:t>Weeks 7-8</w:t>
            </w:r>
          </w:p>
        </w:tc>
        <w:tc>
          <w:tcPr>
            <w:tcW w:type="dxa" w:w="4150"/>
            <w:tcMar>
              <w:top w:w="80" w:type="dxa"/>
              <w:bottom w:w="80" w:type="dxa"/>
              <w:start w:w="120" w:type="dxa"/>
              <w:end w:w="120" w:type="dxa"/>
            </w:tcMar>
          </w:tcPr>
          <w:p>
            <w:pPr>
              <w:spacing w:before="0" w:after="0" w:line="252" w:lineRule="auto"/>
              <w:jc w:val="left"/>
            </w:pPr>
            <w:r/>
            <w:r>
              <w:rPr>
                <w:rFonts w:ascii="Calibri" w:hAnsi="Calibri"/>
                <w:b w:val="0"/>
                <w:color w:val="000000"/>
                <w:sz w:val="19"/>
              </w:rPr>
              <w:t>Data quality and tests</w:t>
            </w:r>
          </w:p>
        </w:tc>
        <w:tc>
          <w:tcPr>
            <w:tcW w:type="dxa" w:w="3910"/>
            <w:tcMar>
              <w:top w:w="80" w:type="dxa"/>
              <w:bottom w:w="80" w:type="dxa"/>
              <w:start w:w="120" w:type="dxa"/>
              <w:end w:w="120" w:type="dxa"/>
            </w:tcMar>
          </w:tcPr>
          <w:p>
            <w:pPr>
              <w:spacing w:before="0" w:after="0" w:line="252" w:lineRule="auto"/>
              <w:jc w:val="left"/>
            </w:pPr>
            <w:r/>
            <w:r>
              <w:rPr>
                <w:rFonts w:ascii="Calibri" w:hAnsi="Calibri"/>
                <w:b w:val="0"/>
                <w:color w:val="000000"/>
                <w:sz w:val="19"/>
              </w:rPr>
              <w:t>Validation rules and test coverage make the pipeline safer to change</w:t>
            </w:r>
          </w:p>
        </w:tc>
      </w:tr>
      <w:tr>
        <w:trPr/>
        <w:tc>
          <w:tcPr>
            <w:tcW w:type="dxa" w:w="1300"/>
            <w:tcMar>
              <w:top w:w="80" w:type="dxa"/>
              <w:bottom w:w="80" w:type="dxa"/>
              <w:start w:w="120" w:type="dxa"/>
              <w:end w:w="120" w:type="dxa"/>
            </w:tcMar>
          </w:tcPr>
          <w:p>
            <w:pPr>
              <w:spacing w:before="0" w:after="0" w:line="252" w:lineRule="auto"/>
              <w:jc w:val="left"/>
            </w:pPr>
            <w:r/>
            <w:r>
              <w:rPr>
                <w:rFonts w:ascii="Calibri" w:hAnsi="Calibri"/>
                <w:b w:val="0"/>
                <w:color w:val="000000"/>
                <w:sz w:val="19"/>
              </w:rPr>
              <w:t>Weeks 9-10</w:t>
            </w:r>
          </w:p>
        </w:tc>
        <w:tc>
          <w:tcPr>
            <w:tcW w:type="dxa" w:w="4150"/>
            <w:tcMar>
              <w:top w:w="80" w:type="dxa"/>
              <w:bottom w:w="80" w:type="dxa"/>
              <w:start w:w="120" w:type="dxa"/>
              <w:end w:w="120" w:type="dxa"/>
            </w:tcMar>
          </w:tcPr>
          <w:p>
            <w:pPr>
              <w:spacing w:before="0" w:after="0" w:line="252" w:lineRule="auto"/>
              <w:jc w:val="left"/>
            </w:pPr>
            <w:r/>
            <w:r>
              <w:rPr>
                <w:rFonts w:ascii="Calibri" w:hAnsi="Calibri"/>
                <w:b w:val="0"/>
                <w:color w:val="000000"/>
                <w:sz w:val="19"/>
              </w:rPr>
              <w:t>Gold layer and PostgreSQL serving</w:t>
            </w:r>
          </w:p>
        </w:tc>
        <w:tc>
          <w:tcPr>
            <w:tcW w:type="dxa" w:w="3910"/>
            <w:tcMar>
              <w:top w:w="80" w:type="dxa"/>
              <w:bottom w:w="80" w:type="dxa"/>
              <w:start w:w="120" w:type="dxa"/>
              <w:end w:w="120" w:type="dxa"/>
            </w:tcMar>
          </w:tcPr>
          <w:p>
            <w:pPr>
              <w:spacing w:before="0" w:after="0" w:line="252" w:lineRule="auto"/>
              <w:jc w:val="left"/>
            </w:pPr>
            <w:r/>
            <w:r>
              <w:rPr>
                <w:rFonts w:ascii="Calibri" w:hAnsi="Calibri"/>
                <w:b w:val="0"/>
                <w:color w:val="000000"/>
                <w:sz w:val="19"/>
              </w:rPr>
              <w:t>Curated data is queryable in a warehouse-style layout</w:t>
            </w:r>
          </w:p>
        </w:tc>
      </w:tr>
      <w:tr>
        <w:trPr/>
        <w:tc>
          <w:tcPr>
            <w:tcW w:type="dxa" w:w="1300"/>
            <w:tcMar>
              <w:top w:w="80" w:type="dxa"/>
              <w:bottom w:w="80" w:type="dxa"/>
              <w:start w:w="120" w:type="dxa"/>
              <w:end w:w="120" w:type="dxa"/>
            </w:tcMar>
          </w:tcPr>
          <w:p>
            <w:pPr>
              <w:spacing w:before="0" w:after="0" w:line="252" w:lineRule="auto"/>
              <w:jc w:val="left"/>
            </w:pPr>
            <w:r/>
            <w:r>
              <w:rPr>
                <w:rFonts w:ascii="Calibri" w:hAnsi="Calibri"/>
                <w:b w:val="0"/>
                <w:color w:val="000000"/>
                <w:sz w:val="19"/>
              </w:rPr>
              <w:t>Weeks 11-12</w:t>
            </w:r>
          </w:p>
        </w:tc>
        <w:tc>
          <w:tcPr>
            <w:tcW w:type="dxa" w:w="4150"/>
            <w:tcMar>
              <w:top w:w="80" w:type="dxa"/>
              <w:bottom w:w="80" w:type="dxa"/>
              <w:start w:w="120" w:type="dxa"/>
              <w:end w:w="120" w:type="dxa"/>
            </w:tcMar>
          </w:tcPr>
          <w:p>
            <w:pPr>
              <w:spacing w:before="0" w:after="0" w:line="252" w:lineRule="auto"/>
              <w:jc w:val="left"/>
            </w:pPr>
            <w:r/>
            <w:r>
              <w:rPr>
                <w:rFonts w:ascii="Calibri" w:hAnsi="Calibri"/>
                <w:b w:val="0"/>
                <w:color w:val="000000"/>
                <w:sz w:val="19"/>
              </w:rPr>
              <w:t>Documentation, observability, and demo polish</w:t>
            </w:r>
          </w:p>
        </w:tc>
        <w:tc>
          <w:tcPr>
            <w:tcW w:type="dxa" w:w="3910"/>
            <w:tcMar>
              <w:top w:w="80" w:type="dxa"/>
              <w:bottom w:w="80" w:type="dxa"/>
              <w:start w:w="120" w:type="dxa"/>
              <w:end w:w="120" w:type="dxa"/>
            </w:tcMar>
          </w:tcPr>
          <w:p>
            <w:pPr>
              <w:spacing w:before="0" w:after="0" w:line="252" w:lineRule="auto"/>
              <w:jc w:val="left"/>
            </w:pPr>
            <w:r/>
            <w:r>
              <w:rPr>
                <w:rFonts w:ascii="Calibri" w:hAnsi="Calibri"/>
                <w:b w:val="0"/>
                <w:color w:val="000000"/>
                <w:sz w:val="19"/>
              </w:rPr>
              <w:t>The project is ready to present as a portfolio artifact</w:t>
            </w:r>
          </w:p>
        </w:tc>
      </w:tr>
    </w:tbl>
    <w:p>
      <w:pPr>
        <w:pStyle w:val="Heading1"/>
        <w:keepNext/>
      </w:pPr>
      <w:r>
        <w:t>Future Evolution</w:t>
      </w:r>
    </w:p>
    <w:p>
      <w:pPr>
        <w:spacing w:before="0" w:after="120" w:line="264" w:lineRule="auto"/>
        <w:jc w:val="left"/>
      </w:pPr>
      <w:r>
        <w:rPr>
          <w:rFonts w:ascii="Calibri" w:hAnsi="Calibri"/>
          <w:b w:val="0"/>
          <w:i w:val="0"/>
          <w:color w:val="000000"/>
          <w:sz w:val="22"/>
        </w:rPr>
        <w:t>If the core platform is stable, the next natural enhancements are cloud deployment, dbt for modeling ergonomics, Spark for scale testing, OpenMetadata for richer lineage, and selective NLP enrichment for free-text metadata fields.</w:t>
      </w:r>
    </w:p>
    <w:p>
      <w:pPr>
        <w:spacing w:before="0" w:after="0" w:line="264" w:lineRule="auto"/>
        <w:jc w:val="left"/>
      </w:pPr>
      <w:r>
        <w:rPr>
          <w:rFonts w:ascii="Calibri" w:hAnsi="Calibri"/>
          <w:b w:val="0"/>
          <w:i w:val="0"/>
          <w:color w:val="000000"/>
          <w:sz w:val="22"/>
        </w:rPr>
        <w:t>Those extensions should come after the baseline system is complete so the project keeps a clear story and does not become fragmented.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Nexumics Technical Design Document</dc:title>
  <dc:subject>Living technical specification for Nexumics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