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rFonts w:ascii="Aptos" w:hAnsi="Aptos"/>
          <w:b/>
          <w:color w:val="8F1A98"/>
          <w:sz w:val="22"/>
        </w:rPr>
        <w:t>DATA ANALYTICS PROJECT REPORT</w:t>
      </w:r>
    </w:p>
    <w:p>
      <w:pPr>
        <w:pStyle w:val="Title"/>
      </w:pPr>
      <w:r>
        <w:t>Customer Shopping Behavior Analysis</w:t>
      </w:r>
    </w:p>
    <w:p>
      <w:pPr>
        <w:spacing w:after="360"/>
      </w:pPr>
      <w:r>
        <w:rPr>
          <w:rFonts w:ascii="Aptos" w:hAnsi="Aptos"/>
          <w:color w:val="64748B"/>
          <w:sz w:val="32"/>
        </w:rPr>
        <w:t>An end to end analysis using Python SQL and Power BI</w:t>
      </w:r>
    </w:p>
    <w:p>
      <w:pPr>
        <w:keepNext/>
        <w:jc w:val="center"/>
      </w:pPr>
      <w:r>
        <w:drawing>
          <wp:inline xmlns:a="http://schemas.openxmlformats.org/drawingml/2006/main" xmlns:pic="http://schemas.openxmlformats.org/drawingml/2006/picture">
            <wp:extent cx="6035040" cy="3138221"/>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6035040" cy="3138221"/>
                    </a:xfrm>
                    <a:prstGeom prst="rect"/>
                  </pic:spPr>
                </pic:pic>
              </a:graphicData>
            </a:graphic>
          </wp:inline>
        </w:drawing>
      </w:r>
    </w:p>
    <w:p>
      <w:pPr>
        <w:spacing w:after="180"/>
        <w:jc w:val="center"/>
      </w:pPr>
      <w:r>
        <w:rPr>
          <w:rFonts w:ascii="Aptos" w:hAnsi="Aptos"/>
          <w:i/>
          <w:color w:val="64748B"/>
          <w:sz w:val="18"/>
        </w:rPr>
        <w:t>Final interactive dashboard developed in Power BI</w:t>
      </w:r>
    </w:p>
    <w:tbl>
      <w:tblPr>
        <w:tblW w:type="auto" w:w="0"/>
        <w:jc w:val="left"/>
        <w:tblLayout w:type="fixed"/>
        <w:tblLook w:firstColumn="1" w:firstRow="1" w:lastColumn="0" w:lastRow="0" w:noHBand="0" w:noVBand="1" w:val="04A0"/>
        <w:tblBorders>
          <w:top w:val="single" w:sz="6" w:color="E5E7EB"/>
          <w:left w:val="single" w:sz="6" w:color="E5E7EB"/>
          <w:bottom w:val="single" w:sz="6" w:color="E5E7EB"/>
          <w:right w:val="single" w:sz="6" w:color="E5E7EB"/>
          <w:insideH w:val="single" w:sz="6" w:color="E5E7EB"/>
          <w:insideV w:val="single" w:sz="6" w:color="E5E7EB"/>
        </w:tblBorders>
      </w:tblPr>
      <w:tblGrid>
        <w:gridCol w:w="5083"/>
        <w:gridCol w:w="5083"/>
      </w:tblGrid>
      <w:tr>
        <w:tc>
          <w:tcPr>
            <w:tcW w:type="dxa" w:w="2160"/>
            <w:shd w:fill="F4F1F8"/>
            <w:tcMar>
              <w:top w:w="110" w:type="dxa"/>
              <w:start w:w="140" w:type="dxa"/>
              <w:bottom w:w="110" w:type="dxa"/>
              <w:end w:w="140" w:type="dxa"/>
            </w:tcMar>
            <w:vAlign w:val="center"/>
          </w:tcPr>
          <w:p>
            <w:r>
              <w:rPr>
                <w:rFonts w:ascii="Aptos" w:hAnsi="Aptos"/>
                <w:b/>
                <w:color w:val="172033"/>
                <w:sz w:val="19"/>
              </w:rPr>
              <w:t>Prepared by</w:t>
            </w:r>
          </w:p>
        </w:tc>
        <w:tc>
          <w:tcPr>
            <w:tcW w:type="dxa" w:w="7920"/>
            <w:tcMar>
              <w:top w:w="110" w:type="dxa"/>
              <w:start w:w="140" w:type="dxa"/>
              <w:bottom w:w="110" w:type="dxa"/>
              <w:end w:w="140" w:type="dxa"/>
            </w:tcMar>
            <w:vAlign w:val="center"/>
          </w:tcPr>
          <w:p>
            <w:r>
              <w:rPr>
                <w:rFonts w:ascii="Aptos" w:hAnsi="Aptos"/>
                <w:color w:val="172033"/>
                <w:sz w:val="19"/>
              </w:rPr>
              <w:t>Taki Abbas</w:t>
            </w:r>
          </w:p>
        </w:tc>
      </w:tr>
      <w:tr>
        <w:tc>
          <w:tcPr>
            <w:tcW w:type="dxa" w:w="2160"/>
            <w:shd w:fill="F4F1F8"/>
            <w:tcMar>
              <w:top w:w="110" w:type="dxa"/>
              <w:start w:w="140" w:type="dxa"/>
              <w:bottom w:w="110" w:type="dxa"/>
              <w:end w:w="140" w:type="dxa"/>
            </w:tcMar>
            <w:vAlign w:val="center"/>
          </w:tcPr>
          <w:p>
            <w:r>
              <w:rPr>
                <w:rFonts w:ascii="Aptos" w:hAnsi="Aptos"/>
                <w:b/>
                <w:color w:val="172033"/>
                <w:sz w:val="19"/>
              </w:rPr>
              <w:t>Project type</w:t>
            </w:r>
          </w:p>
        </w:tc>
        <w:tc>
          <w:tcPr>
            <w:tcW w:type="dxa" w:w="7920"/>
            <w:tcMar>
              <w:top w:w="110" w:type="dxa"/>
              <w:start w:w="140" w:type="dxa"/>
              <w:bottom w:w="110" w:type="dxa"/>
              <w:end w:w="140" w:type="dxa"/>
            </w:tcMar>
            <w:vAlign w:val="center"/>
          </w:tcPr>
          <w:p>
            <w:r>
              <w:rPr>
                <w:rFonts w:ascii="Aptos" w:hAnsi="Aptos"/>
                <w:color w:val="172033"/>
                <w:sz w:val="19"/>
              </w:rPr>
              <w:t>Customer analytics and business intelligence</w:t>
            </w:r>
          </w:p>
        </w:tc>
      </w:tr>
      <w:tr>
        <w:tc>
          <w:tcPr>
            <w:tcW w:type="dxa" w:w="2160"/>
            <w:shd w:fill="F4F1F8"/>
            <w:tcMar>
              <w:top w:w="110" w:type="dxa"/>
              <w:start w:w="140" w:type="dxa"/>
              <w:bottom w:w="110" w:type="dxa"/>
              <w:end w:w="140" w:type="dxa"/>
            </w:tcMar>
            <w:vAlign w:val="center"/>
          </w:tcPr>
          <w:p>
            <w:r>
              <w:rPr>
                <w:rFonts w:ascii="Aptos" w:hAnsi="Aptos"/>
                <w:b/>
                <w:color w:val="172033"/>
                <w:sz w:val="19"/>
              </w:rPr>
              <w:t>Tools</w:t>
            </w:r>
          </w:p>
        </w:tc>
        <w:tc>
          <w:tcPr>
            <w:tcW w:type="dxa" w:w="7920"/>
            <w:tcMar>
              <w:top w:w="110" w:type="dxa"/>
              <w:start w:w="140" w:type="dxa"/>
              <w:bottom w:w="110" w:type="dxa"/>
              <w:end w:w="140" w:type="dxa"/>
            </w:tcMar>
            <w:vAlign w:val="center"/>
          </w:tcPr>
          <w:p>
            <w:r>
              <w:rPr>
                <w:rFonts w:ascii="Aptos" w:hAnsi="Aptos"/>
                <w:color w:val="172033"/>
                <w:sz w:val="19"/>
              </w:rPr>
              <w:t>Python Pandas  |  MySQL  |  Power BI  |  DAX</w:t>
            </w:r>
          </w:p>
        </w:tc>
      </w:tr>
    </w:tbl>
    <w:p>
      <w:pPr>
        <w:pStyle w:val="Heading1"/>
        <w:keepNext/>
      </w:pPr>
      <w:r>
        <w:t>Executive Summary</w:t>
      </w:r>
    </w:p>
    <w:p>
      <w:pPr>
        <w:spacing w:after="100" w:line="259" w:lineRule="auto"/>
      </w:pPr>
      <w:r>
        <w:t>This project analyzes 3,900 customer shopping records to explain purchasing patterns, revenue concentration, customer engagement, subscription behavior, and product performance. The workflow combines Python for data preparation, MySQL for business analysis, and Power BI for interactive reporting.</w:t>
      </w:r>
    </w:p>
    <w:p>
      <w:pPr>
        <w:spacing w:after="100" w:line="259" w:lineRule="auto"/>
      </w:pPr>
      <w:r>
        <w:t>The analysis shows that the business generated $233,081 in revenue with an average purchase value of $59.76 and an average review rating of 3.75. Clothing is the largest category by both sales and revenue, young adults contribute the most revenue, and 73% of customers are not subscribed. These findings point to clear opportunities in subscription conversion, targeted category promotions, and customer-experience improvement.</w:t>
      </w:r>
    </w:p>
    <w:p>
      <w:pPr>
        <w:pStyle w:val="Heading2"/>
        <w:keepNext/>
      </w:pPr>
      <w:r>
        <w:t>Project at a Glance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376"/>
            <w:shd w:fill="0F172A"/>
            <w:vAlign w:val="center"/>
            <w:tcMar>
              <w:top w:w="120" w:type="dxa"/>
              <w:start w:w="120" w:type="dxa"/>
              <w:bottom w:w="120" w:type="dxa"/>
              <w:end w:w="120" w:type="dxa"/>
            </w:tcMar>
          </w:tcPr>
          <w:p>
            <w:pPr>
              <w:spacing w:after="0"/>
              <w:jc w:val="center"/>
            </w:pPr>
            <w:r>
              <w:rPr>
                <w:rFonts w:ascii="Aptos" w:hAnsi="Aptos"/>
                <w:b/>
                <w:color w:val="FFFFFF"/>
                <w:sz w:val="19"/>
              </w:rPr>
              <w:t>Measure</w:t>
            </w:r>
          </w:p>
        </w:tc>
        <w:tc>
          <w:tcPr>
            <w:tcW w:type="dxa" w:w="1800"/>
            <w:shd w:fill="0F172A"/>
            <w:vAlign w:val="center"/>
            <w:tcMar>
              <w:top w:w="120" w:type="dxa"/>
              <w:start w:w="120" w:type="dxa"/>
              <w:bottom w:w="120" w:type="dxa"/>
              <w:end w:w="120" w:type="dxa"/>
            </w:tcMar>
          </w:tcPr>
          <w:p>
            <w:pPr>
              <w:spacing w:after="0"/>
              <w:jc w:val="center"/>
            </w:pPr>
            <w:r>
              <w:rPr>
                <w:rFonts w:ascii="Aptos" w:hAnsi="Aptos"/>
                <w:b/>
                <w:color w:val="FFFFFF"/>
                <w:sz w:val="19"/>
              </w:rPr>
              <w:t>Result</w:t>
            </w:r>
          </w:p>
        </w:tc>
        <w:tc>
          <w:tcPr>
            <w:tcW w:type="dxa" w:w="5760"/>
            <w:shd w:fill="0F172A"/>
            <w:vAlign w:val="center"/>
            <w:tcMar>
              <w:top w:w="120" w:type="dxa"/>
              <w:start w:w="120" w:type="dxa"/>
              <w:bottom w:w="120" w:type="dxa"/>
              <w:end w:w="120" w:type="dxa"/>
            </w:tcMar>
          </w:tcPr>
          <w:p>
            <w:pPr>
              <w:spacing w:after="0"/>
              <w:jc w:val="center"/>
            </w:pPr>
            <w:r>
              <w:rPr>
                <w:rFonts w:ascii="Aptos" w:hAnsi="Aptos"/>
                <w:b/>
                <w:color w:val="FFFFFF"/>
                <w:sz w:val="19"/>
              </w:rPr>
              <w:t>Interpretation</w:t>
            </w:r>
          </w:p>
        </w:tc>
      </w:tr>
      <w:tr>
        <w:tc>
          <w:tcPr>
            <w:tcW w:type="dxa" w:w="2376"/>
            <w:tcMar>
              <w:top w:w="75" w:type="dxa"/>
              <w:start w:w="110" w:type="dxa"/>
              <w:bottom w:w="75" w:type="dxa"/>
              <w:end w:w="110" w:type="dxa"/>
            </w:tcMar>
            <w:vAlign w:val="center"/>
          </w:tcPr>
          <w:p>
            <w:pPr>
              <w:spacing w:after="0" w:line="252" w:lineRule="auto"/>
              <w:jc w:val="center"/>
            </w:pPr>
            <w:r>
              <w:rPr>
                <w:rFonts w:ascii="Aptos" w:hAnsi="Aptos"/>
                <w:color w:val="172033"/>
                <w:sz w:val="18"/>
              </w:rPr>
              <w:t>Customer records</w:t>
            </w:r>
          </w:p>
        </w:tc>
        <w:tc>
          <w:tcPr>
            <w:tcW w:type="dxa" w:w="1800"/>
            <w:tcMar>
              <w:top w:w="75" w:type="dxa"/>
              <w:start w:w="110" w:type="dxa"/>
              <w:bottom w:w="75" w:type="dxa"/>
              <w:end w:w="110" w:type="dxa"/>
            </w:tcMar>
            <w:vAlign w:val="center"/>
          </w:tcPr>
          <w:p>
            <w:pPr>
              <w:spacing w:after="0" w:line="252" w:lineRule="auto"/>
              <w:jc w:val="center"/>
            </w:pPr>
            <w:r>
              <w:rPr>
                <w:rFonts w:ascii="Aptos" w:hAnsi="Aptos"/>
                <w:color w:val="172033"/>
                <w:sz w:val="18"/>
              </w:rPr>
              <w:t>3,900</w:t>
            </w:r>
          </w:p>
        </w:tc>
        <w:tc>
          <w:tcPr>
            <w:tcW w:type="dxa" w:w="5760"/>
            <w:tcMar>
              <w:top w:w="75" w:type="dxa"/>
              <w:start w:w="110" w:type="dxa"/>
              <w:bottom w:w="75" w:type="dxa"/>
              <w:end w:w="110" w:type="dxa"/>
            </w:tcMar>
            <w:vAlign w:val="center"/>
          </w:tcPr>
          <w:p>
            <w:pPr>
              <w:spacing w:after="0" w:line="252" w:lineRule="auto"/>
              <w:jc w:val="left"/>
            </w:pPr>
            <w:r>
              <w:rPr>
                <w:rFonts w:ascii="Aptos" w:hAnsi="Aptos"/>
                <w:color w:val="172033"/>
                <w:sz w:val="18"/>
              </w:rPr>
              <w:t>A broad customer-level dataset for segmentation</w:t>
            </w:r>
          </w:p>
        </w:tc>
      </w:tr>
      <w:tr>
        <w:tc>
          <w:tcPr>
            <w:tcW w:type="dxa" w:w="2376"/>
            <w:tcMar>
              <w:top w:w="75" w:type="dxa"/>
              <w:start w:w="110" w:type="dxa"/>
              <w:bottom w:w="75" w:type="dxa"/>
              <w:end w:w="110" w:type="dxa"/>
            </w:tcMar>
            <w:vAlign w:val="center"/>
            <w:shd w:fill="F3F6FA"/>
          </w:tcPr>
          <w:p>
            <w:pPr>
              <w:spacing w:after="0" w:line="252" w:lineRule="auto"/>
              <w:jc w:val="center"/>
            </w:pPr>
            <w:r>
              <w:rPr>
                <w:rFonts w:ascii="Aptos" w:hAnsi="Aptos"/>
                <w:color w:val="172033"/>
                <w:sz w:val="18"/>
              </w:rPr>
              <w:t>Total revenue</w:t>
            </w:r>
          </w:p>
        </w:tc>
        <w:tc>
          <w:tcPr>
            <w:tcW w:type="dxa" w:w="1800"/>
            <w:tcMar>
              <w:top w:w="75" w:type="dxa"/>
              <w:start w:w="110" w:type="dxa"/>
              <w:bottom w:w="75" w:type="dxa"/>
              <w:end w:w="110" w:type="dxa"/>
            </w:tcMar>
            <w:vAlign w:val="center"/>
            <w:shd w:fill="F3F6FA"/>
          </w:tcPr>
          <w:p>
            <w:pPr>
              <w:spacing w:after="0" w:line="252" w:lineRule="auto"/>
              <w:jc w:val="center"/>
            </w:pPr>
            <w:r>
              <w:rPr>
                <w:rFonts w:ascii="Aptos" w:hAnsi="Aptos"/>
                <w:color w:val="172033"/>
                <w:sz w:val="18"/>
              </w:rPr>
              <w:t>$233,081</w:t>
            </w:r>
          </w:p>
        </w:tc>
        <w:tc>
          <w:tcPr>
            <w:tcW w:type="dxa" w:w="5760"/>
            <w:tcMar>
              <w:top w:w="75" w:type="dxa"/>
              <w:start w:w="110" w:type="dxa"/>
              <w:bottom w:w="75" w:type="dxa"/>
              <w:end w:w="110" w:type="dxa"/>
            </w:tcMar>
            <w:vAlign w:val="center"/>
            <w:shd w:fill="F3F6FA"/>
          </w:tcPr>
          <w:p>
            <w:pPr>
              <w:spacing w:after="0" w:line="252" w:lineRule="auto"/>
              <w:jc w:val="left"/>
            </w:pPr>
            <w:r>
              <w:rPr>
                <w:rFonts w:ascii="Aptos" w:hAnsi="Aptos"/>
                <w:color w:val="172033"/>
                <w:sz w:val="18"/>
              </w:rPr>
              <w:t>Overall purchase value represented in the data</w:t>
            </w:r>
          </w:p>
        </w:tc>
      </w:tr>
      <w:tr>
        <w:tc>
          <w:tcPr>
            <w:tcW w:type="dxa" w:w="2376"/>
            <w:tcMar>
              <w:top w:w="75" w:type="dxa"/>
              <w:start w:w="110" w:type="dxa"/>
              <w:bottom w:w="75" w:type="dxa"/>
              <w:end w:w="110" w:type="dxa"/>
            </w:tcMar>
            <w:vAlign w:val="center"/>
          </w:tcPr>
          <w:p>
            <w:pPr>
              <w:spacing w:after="0" w:line="252" w:lineRule="auto"/>
              <w:jc w:val="center"/>
            </w:pPr>
            <w:r>
              <w:rPr>
                <w:rFonts w:ascii="Aptos" w:hAnsi="Aptos"/>
                <w:color w:val="172033"/>
                <w:sz w:val="18"/>
              </w:rPr>
              <w:t>Average purchase</w:t>
            </w:r>
          </w:p>
        </w:tc>
        <w:tc>
          <w:tcPr>
            <w:tcW w:type="dxa" w:w="1800"/>
            <w:tcMar>
              <w:top w:w="75" w:type="dxa"/>
              <w:start w:w="110" w:type="dxa"/>
              <w:bottom w:w="75" w:type="dxa"/>
              <w:end w:w="110" w:type="dxa"/>
            </w:tcMar>
            <w:vAlign w:val="center"/>
          </w:tcPr>
          <w:p>
            <w:pPr>
              <w:spacing w:after="0" w:line="252" w:lineRule="auto"/>
              <w:jc w:val="center"/>
            </w:pPr>
            <w:r>
              <w:rPr>
                <w:rFonts w:ascii="Aptos" w:hAnsi="Aptos"/>
                <w:color w:val="172033"/>
                <w:sz w:val="18"/>
              </w:rPr>
              <w:t>$59.76</w:t>
            </w:r>
          </w:p>
        </w:tc>
        <w:tc>
          <w:tcPr>
            <w:tcW w:type="dxa" w:w="5760"/>
            <w:tcMar>
              <w:top w:w="75" w:type="dxa"/>
              <w:start w:w="110" w:type="dxa"/>
              <w:bottom w:w="75" w:type="dxa"/>
              <w:end w:w="110" w:type="dxa"/>
            </w:tcMar>
            <w:vAlign w:val="center"/>
          </w:tcPr>
          <w:p>
            <w:pPr>
              <w:spacing w:after="0" w:line="252" w:lineRule="auto"/>
              <w:jc w:val="left"/>
            </w:pPr>
            <w:r>
              <w:rPr>
                <w:rFonts w:ascii="Aptos" w:hAnsi="Aptos"/>
                <w:color w:val="172033"/>
                <w:sz w:val="18"/>
              </w:rPr>
              <w:t>Typical value of a customer purchase</w:t>
            </w:r>
          </w:p>
        </w:tc>
      </w:tr>
      <w:tr>
        <w:tc>
          <w:tcPr>
            <w:tcW w:type="dxa" w:w="2376"/>
            <w:tcMar>
              <w:top w:w="75" w:type="dxa"/>
              <w:start w:w="110" w:type="dxa"/>
              <w:bottom w:w="75" w:type="dxa"/>
              <w:end w:w="110" w:type="dxa"/>
            </w:tcMar>
            <w:vAlign w:val="center"/>
            <w:shd w:fill="F3F6FA"/>
          </w:tcPr>
          <w:p>
            <w:pPr>
              <w:spacing w:after="0" w:line="252" w:lineRule="auto"/>
              <w:jc w:val="center"/>
            </w:pPr>
            <w:r>
              <w:rPr>
                <w:rFonts w:ascii="Aptos" w:hAnsi="Aptos"/>
                <w:color w:val="172033"/>
                <w:sz w:val="18"/>
              </w:rPr>
              <w:t>Average rating</w:t>
            </w:r>
          </w:p>
        </w:tc>
        <w:tc>
          <w:tcPr>
            <w:tcW w:type="dxa" w:w="1800"/>
            <w:tcMar>
              <w:top w:w="75" w:type="dxa"/>
              <w:start w:w="110" w:type="dxa"/>
              <w:bottom w:w="75" w:type="dxa"/>
              <w:end w:w="110" w:type="dxa"/>
            </w:tcMar>
            <w:vAlign w:val="center"/>
            <w:shd w:fill="F3F6FA"/>
          </w:tcPr>
          <w:p>
            <w:pPr>
              <w:spacing w:after="0" w:line="252" w:lineRule="auto"/>
              <w:jc w:val="center"/>
            </w:pPr>
            <w:r>
              <w:rPr>
                <w:rFonts w:ascii="Aptos" w:hAnsi="Aptos"/>
                <w:color w:val="172033"/>
                <w:sz w:val="18"/>
              </w:rPr>
              <w:t>3.75 / 5</w:t>
            </w:r>
          </w:p>
        </w:tc>
        <w:tc>
          <w:tcPr>
            <w:tcW w:type="dxa" w:w="5760"/>
            <w:tcMar>
              <w:top w:w="75" w:type="dxa"/>
              <w:start w:w="110" w:type="dxa"/>
              <w:bottom w:w="75" w:type="dxa"/>
              <w:end w:w="110" w:type="dxa"/>
            </w:tcMar>
            <w:vAlign w:val="center"/>
            <w:shd w:fill="F3F6FA"/>
          </w:tcPr>
          <w:p>
            <w:pPr>
              <w:spacing w:after="0" w:line="252" w:lineRule="auto"/>
              <w:jc w:val="left"/>
            </w:pPr>
            <w:r>
              <w:rPr>
                <w:rFonts w:ascii="Aptos" w:hAnsi="Aptos"/>
                <w:color w:val="172033"/>
                <w:sz w:val="18"/>
              </w:rPr>
              <w:t>Generally positive, with room to improve</w:t>
            </w:r>
          </w:p>
        </w:tc>
      </w:tr>
      <w:tr>
        <w:tc>
          <w:tcPr>
            <w:tcW w:type="dxa" w:w="2376"/>
            <w:tcMar>
              <w:top w:w="75" w:type="dxa"/>
              <w:start w:w="110" w:type="dxa"/>
              <w:bottom w:w="75" w:type="dxa"/>
              <w:end w:w="110" w:type="dxa"/>
            </w:tcMar>
            <w:vAlign w:val="center"/>
          </w:tcPr>
          <w:p>
            <w:pPr>
              <w:spacing w:after="0" w:line="252" w:lineRule="auto"/>
              <w:jc w:val="center"/>
            </w:pPr>
            <w:r>
              <w:rPr>
                <w:rFonts w:ascii="Aptos" w:hAnsi="Aptos"/>
                <w:color w:val="172033"/>
                <w:sz w:val="18"/>
              </w:rPr>
              <w:t>Subscribed customers</w:t>
            </w:r>
          </w:p>
        </w:tc>
        <w:tc>
          <w:tcPr>
            <w:tcW w:type="dxa" w:w="1800"/>
            <w:tcMar>
              <w:top w:w="75" w:type="dxa"/>
              <w:start w:w="110" w:type="dxa"/>
              <w:bottom w:w="75" w:type="dxa"/>
              <w:end w:w="110" w:type="dxa"/>
            </w:tcMar>
            <w:vAlign w:val="center"/>
          </w:tcPr>
          <w:p>
            <w:pPr>
              <w:spacing w:after="0" w:line="252" w:lineRule="auto"/>
              <w:jc w:val="center"/>
            </w:pPr>
            <w:r>
              <w:rPr>
                <w:rFonts w:ascii="Aptos" w:hAnsi="Aptos"/>
                <w:color w:val="172033"/>
                <w:sz w:val="18"/>
              </w:rPr>
              <w:t>27%</w:t>
            </w:r>
          </w:p>
        </w:tc>
        <w:tc>
          <w:tcPr>
            <w:tcW w:type="dxa" w:w="5760"/>
            <w:tcMar>
              <w:top w:w="75" w:type="dxa"/>
              <w:start w:w="110" w:type="dxa"/>
              <w:bottom w:w="75" w:type="dxa"/>
              <w:end w:w="110" w:type="dxa"/>
            </w:tcMar>
            <w:vAlign w:val="center"/>
          </w:tcPr>
          <w:p>
            <w:pPr>
              <w:spacing w:after="0" w:line="252" w:lineRule="auto"/>
              <w:jc w:val="left"/>
            </w:pPr>
            <w:r>
              <w:rPr>
                <w:rFonts w:ascii="Aptos" w:hAnsi="Aptos"/>
                <w:color w:val="172033"/>
                <w:sz w:val="18"/>
              </w:rPr>
              <w:t>Most customers remain available for conversion</w:t>
            </w:r>
          </w:p>
        </w:tc>
      </w:tr>
    </w:tbl>
    <w:p>
      <w:pPr>
        <w:pStyle w:val="Heading2"/>
        <w:keepNext/>
      </w:pPr>
      <w:r>
        <w:t>End to End Workflow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792"/>
            <w:shd w:fill="0F172A"/>
            <w:vAlign w:val="center"/>
            <w:tcMar>
              <w:top w:w="120" w:type="dxa"/>
              <w:start w:w="120" w:type="dxa"/>
              <w:bottom w:w="120" w:type="dxa"/>
              <w:end w:w="120" w:type="dxa"/>
            </w:tcMar>
          </w:tcPr>
          <w:p>
            <w:pPr>
              <w:spacing w:after="0"/>
              <w:jc w:val="center"/>
            </w:pPr>
            <w:r>
              <w:rPr>
                <w:rFonts w:ascii="Aptos" w:hAnsi="Aptos"/>
                <w:b/>
                <w:color w:val="FFFFFF"/>
                <w:sz w:val="19"/>
              </w:rPr>
              <w:t>Step</w:t>
            </w:r>
          </w:p>
        </w:tc>
        <w:tc>
          <w:tcPr>
            <w:tcW w:type="dxa" w:w="1728"/>
            <w:shd w:fill="0F172A"/>
            <w:vAlign w:val="center"/>
            <w:tcMar>
              <w:top w:w="120" w:type="dxa"/>
              <w:start w:w="120" w:type="dxa"/>
              <w:bottom w:w="120" w:type="dxa"/>
              <w:end w:w="120" w:type="dxa"/>
            </w:tcMar>
          </w:tcPr>
          <w:p>
            <w:pPr>
              <w:spacing w:after="0"/>
              <w:jc w:val="center"/>
            </w:pPr>
            <w:r>
              <w:rPr>
                <w:rFonts w:ascii="Aptos" w:hAnsi="Aptos"/>
                <w:b/>
                <w:color w:val="FFFFFF"/>
                <w:sz w:val="19"/>
              </w:rPr>
              <w:t>Stage</w:t>
            </w:r>
          </w:p>
        </w:tc>
        <w:tc>
          <w:tcPr>
            <w:tcW w:type="dxa" w:w="7416"/>
            <w:shd w:fill="0F172A"/>
            <w:vAlign w:val="center"/>
            <w:tcMar>
              <w:top w:w="120" w:type="dxa"/>
              <w:start w:w="120" w:type="dxa"/>
              <w:bottom w:w="120" w:type="dxa"/>
              <w:end w:w="120" w:type="dxa"/>
            </w:tcMar>
          </w:tcPr>
          <w:p>
            <w:pPr>
              <w:spacing w:after="0"/>
              <w:jc w:val="center"/>
            </w:pPr>
            <w:r>
              <w:rPr>
                <w:rFonts w:ascii="Aptos" w:hAnsi="Aptos"/>
                <w:b/>
                <w:color w:val="FFFFFF"/>
                <w:sz w:val="19"/>
              </w:rPr>
              <w:t>Purpose</w:t>
            </w:r>
          </w:p>
        </w:tc>
      </w:tr>
      <w:tr>
        <w:tc>
          <w:tcPr>
            <w:tcW w:type="dxa" w:w="792"/>
            <w:tcMar>
              <w:top w:w="75" w:type="dxa"/>
              <w:start w:w="110" w:type="dxa"/>
              <w:bottom w:w="75" w:type="dxa"/>
              <w:end w:w="110" w:type="dxa"/>
            </w:tcMar>
            <w:vAlign w:val="center"/>
          </w:tcPr>
          <w:p>
            <w:pPr>
              <w:spacing w:after="0" w:line="252" w:lineRule="auto"/>
              <w:jc w:val="center"/>
            </w:pPr>
            <w:r>
              <w:rPr>
                <w:rFonts w:ascii="Aptos" w:hAnsi="Aptos"/>
                <w:color w:val="172033"/>
                <w:sz w:val="17"/>
              </w:rPr>
              <w:t>1</w:t>
            </w:r>
          </w:p>
        </w:tc>
        <w:tc>
          <w:tcPr>
            <w:tcW w:type="dxa" w:w="1728"/>
            <w:tcMar>
              <w:top w:w="75" w:type="dxa"/>
              <w:start w:w="110" w:type="dxa"/>
              <w:bottom w:w="75" w:type="dxa"/>
              <w:end w:w="110" w:type="dxa"/>
            </w:tcMar>
            <w:vAlign w:val="center"/>
          </w:tcPr>
          <w:p>
            <w:pPr>
              <w:spacing w:after="0" w:line="252" w:lineRule="auto"/>
              <w:jc w:val="center"/>
            </w:pPr>
            <w:r>
              <w:rPr>
                <w:rFonts w:ascii="Aptos" w:hAnsi="Aptos"/>
                <w:color w:val="172033"/>
                <w:sz w:val="17"/>
              </w:rPr>
              <w:t>Understand</w:t>
            </w:r>
          </w:p>
        </w:tc>
        <w:tc>
          <w:tcPr>
            <w:tcW w:type="dxa" w:w="7416"/>
            <w:tcMar>
              <w:top w:w="75" w:type="dxa"/>
              <w:start w:w="110" w:type="dxa"/>
              <w:bottom w:w="75" w:type="dxa"/>
              <w:end w:w="110" w:type="dxa"/>
            </w:tcMar>
            <w:vAlign w:val="center"/>
          </w:tcPr>
          <w:p>
            <w:pPr>
              <w:spacing w:after="0" w:line="252" w:lineRule="auto"/>
              <w:jc w:val="left"/>
            </w:pPr>
            <w:r>
              <w:rPr>
                <w:rFonts w:ascii="Aptos" w:hAnsi="Aptos"/>
                <w:color w:val="172033"/>
                <w:sz w:val="17"/>
              </w:rPr>
              <w:t>Inspect structure, data types, completeness, and business meaning</w:t>
            </w:r>
          </w:p>
        </w:tc>
      </w:tr>
      <w:tr>
        <w:tc>
          <w:tcPr>
            <w:tcW w:type="dxa" w:w="792"/>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2</w:t>
            </w:r>
          </w:p>
        </w:tc>
        <w:tc>
          <w:tcPr>
            <w:tcW w:type="dxa" w:w="1728"/>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Clean</w:t>
            </w:r>
          </w:p>
        </w:tc>
        <w:tc>
          <w:tcPr>
            <w:tcW w:type="dxa" w:w="7416"/>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Treat missing ratings and standardize column names</w:t>
            </w:r>
          </w:p>
        </w:tc>
      </w:tr>
      <w:tr>
        <w:tc>
          <w:tcPr>
            <w:tcW w:type="dxa" w:w="792"/>
            <w:tcMar>
              <w:top w:w="75" w:type="dxa"/>
              <w:start w:w="110" w:type="dxa"/>
              <w:bottom w:w="75" w:type="dxa"/>
              <w:end w:w="110" w:type="dxa"/>
            </w:tcMar>
            <w:vAlign w:val="center"/>
          </w:tcPr>
          <w:p>
            <w:pPr>
              <w:spacing w:after="0" w:line="252" w:lineRule="auto"/>
              <w:jc w:val="center"/>
            </w:pPr>
            <w:r>
              <w:rPr>
                <w:rFonts w:ascii="Aptos" w:hAnsi="Aptos"/>
                <w:color w:val="172033"/>
                <w:sz w:val="17"/>
              </w:rPr>
              <w:t>3</w:t>
            </w:r>
          </w:p>
        </w:tc>
        <w:tc>
          <w:tcPr>
            <w:tcW w:type="dxa" w:w="1728"/>
            <w:tcMar>
              <w:top w:w="75" w:type="dxa"/>
              <w:start w:w="110" w:type="dxa"/>
              <w:bottom w:w="75" w:type="dxa"/>
              <w:end w:w="110" w:type="dxa"/>
            </w:tcMar>
            <w:vAlign w:val="center"/>
          </w:tcPr>
          <w:p>
            <w:pPr>
              <w:spacing w:after="0" w:line="252" w:lineRule="auto"/>
              <w:jc w:val="center"/>
            </w:pPr>
            <w:r>
              <w:rPr>
                <w:rFonts w:ascii="Aptos" w:hAnsi="Aptos"/>
                <w:color w:val="172033"/>
                <w:sz w:val="17"/>
              </w:rPr>
              <w:t>Engineer</w:t>
            </w:r>
          </w:p>
        </w:tc>
        <w:tc>
          <w:tcPr>
            <w:tcW w:type="dxa" w:w="7416"/>
            <w:tcMar>
              <w:top w:w="75" w:type="dxa"/>
              <w:start w:w="110" w:type="dxa"/>
              <w:bottom w:w="75" w:type="dxa"/>
              <w:end w:w="110" w:type="dxa"/>
            </w:tcMar>
            <w:vAlign w:val="center"/>
          </w:tcPr>
          <w:p>
            <w:pPr>
              <w:spacing w:after="0" w:line="252" w:lineRule="auto"/>
              <w:jc w:val="left"/>
            </w:pPr>
            <w:r>
              <w:rPr>
                <w:rFonts w:ascii="Aptos" w:hAnsi="Aptos"/>
                <w:color w:val="172033"/>
                <w:sz w:val="17"/>
              </w:rPr>
              <w:t>Create age-group and purchase-frequency features</w:t>
            </w:r>
          </w:p>
        </w:tc>
      </w:tr>
      <w:tr>
        <w:tc>
          <w:tcPr>
            <w:tcW w:type="dxa" w:w="792"/>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4</w:t>
            </w:r>
          </w:p>
        </w:tc>
        <w:tc>
          <w:tcPr>
            <w:tcW w:type="dxa" w:w="1728"/>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Analyze</w:t>
            </w:r>
          </w:p>
        </w:tc>
        <w:tc>
          <w:tcPr>
            <w:tcW w:type="dxa" w:w="7416"/>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Answer ten business questions in MySQL</w:t>
            </w:r>
          </w:p>
        </w:tc>
      </w:tr>
      <w:tr>
        <w:tc>
          <w:tcPr>
            <w:tcW w:type="dxa" w:w="792"/>
            <w:tcMar>
              <w:top w:w="75" w:type="dxa"/>
              <w:start w:w="110" w:type="dxa"/>
              <w:bottom w:w="75" w:type="dxa"/>
              <w:end w:w="110" w:type="dxa"/>
            </w:tcMar>
            <w:vAlign w:val="center"/>
          </w:tcPr>
          <w:p>
            <w:pPr>
              <w:spacing w:after="0" w:line="252" w:lineRule="auto"/>
              <w:jc w:val="center"/>
            </w:pPr>
            <w:r>
              <w:rPr>
                <w:rFonts w:ascii="Aptos" w:hAnsi="Aptos"/>
                <w:color w:val="172033"/>
                <w:sz w:val="17"/>
              </w:rPr>
              <w:t>5</w:t>
            </w:r>
          </w:p>
        </w:tc>
        <w:tc>
          <w:tcPr>
            <w:tcW w:type="dxa" w:w="1728"/>
            <w:tcMar>
              <w:top w:w="75" w:type="dxa"/>
              <w:start w:w="110" w:type="dxa"/>
              <w:bottom w:w="75" w:type="dxa"/>
              <w:end w:w="110" w:type="dxa"/>
            </w:tcMar>
            <w:vAlign w:val="center"/>
          </w:tcPr>
          <w:p>
            <w:pPr>
              <w:spacing w:after="0" w:line="252" w:lineRule="auto"/>
              <w:jc w:val="center"/>
            </w:pPr>
            <w:r>
              <w:rPr>
                <w:rFonts w:ascii="Aptos" w:hAnsi="Aptos"/>
                <w:color w:val="172033"/>
                <w:sz w:val="17"/>
              </w:rPr>
              <w:t>Model</w:t>
            </w:r>
          </w:p>
        </w:tc>
        <w:tc>
          <w:tcPr>
            <w:tcW w:type="dxa" w:w="7416"/>
            <w:tcMar>
              <w:top w:w="75" w:type="dxa"/>
              <w:start w:w="110" w:type="dxa"/>
              <w:bottom w:w="75" w:type="dxa"/>
              <w:end w:w="110" w:type="dxa"/>
            </w:tcMar>
            <w:vAlign w:val="center"/>
          </w:tcPr>
          <w:p>
            <w:pPr>
              <w:spacing w:after="0" w:line="252" w:lineRule="auto"/>
              <w:jc w:val="left"/>
            </w:pPr>
            <w:r>
              <w:rPr>
                <w:rFonts w:ascii="Aptos" w:hAnsi="Aptos"/>
                <w:color w:val="172033"/>
                <w:sz w:val="17"/>
              </w:rPr>
              <w:t>Create DAX measures and reporting fields in Power BI</w:t>
            </w:r>
          </w:p>
        </w:tc>
      </w:tr>
      <w:tr>
        <w:tc>
          <w:tcPr>
            <w:tcW w:type="dxa" w:w="792"/>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6</w:t>
            </w:r>
          </w:p>
        </w:tc>
        <w:tc>
          <w:tcPr>
            <w:tcW w:type="dxa" w:w="1728"/>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Visualize</w:t>
            </w:r>
          </w:p>
        </w:tc>
        <w:tc>
          <w:tcPr>
            <w:tcW w:type="dxa" w:w="7416"/>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Build the interactive dashboard and translate findings into actions</w:t>
            </w:r>
          </w:p>
        </w:tc>
      </w:tr>
    </w:tbl>
    <w:p>
      <w:pPr>
        <w:pStyle w:val="Heading1"/>
        <w:keepNext/>
      </w:pPr>
      <w:r>
        <w:t>1 Project Definition</w:t>
      </w:r>
    </w:p>
    <w:p>
      <w:pPr>
        <w:pStyle w:val="Heading2"/>
        <w:keepNext/>
      </w:pPr>
      <w:r>
        <w:t>Business Objective</w:t>
      </w:r>
    </w:p>
    <w:p>
      <w:pPr>
        <w:spacing w:after="100" w:line="259" w:lineRule="auto"/>
      </w:pPr>
      <w:r>
        <w:t>The objective was to convert transaction-level customer data into a clear view of shopping behavior. The project focuses on who buys, what they buy, how much they spend, how frequently they return, and which factors can support better marketing and retention decisions.</w:t>
      </w:r>
    </w:p>
    <w:p>
      <w:pPr>
        <w:pStyle w:val="Heading2"/>
        <w:keepNext/>
      </w:pPr>
      <w:r>
        <w:t>Questions Addressed</w:t>
      </w:r>
    </w:p>
    <w:p>
      <w:pPr>
        <w:pStyle w:val="ListBullet"/>
        <w:spacing w:after="80"/>
        <w:ind w:left="403" w:hanging="259"/>
      </w:pPr>
      <w:r>
        <w:t>How much revenue is generated by male and female customers?</w:t>
      </w:r>
    </w:p>
    <w:p>
      <w:pPr>
        <w:pStyle w:val="ListBullet"/>
        <w:spacing w:after="80"/>
        <w:ind w:left="403" w:hanging="259"/>
      </w:pPr>
      <w:r>
        <w:t>Which discount users spend at or above the overall average purchase amount?</w:t>
      </w:r>
    </w:p>
    <w:p>
      <w:pPr>
        <w:pStyle w:val="ListBullet"/>
        <w:spacing w:after="80"/>
        <w:ind w:left="403" w:hanging="259"/>
      </w:pPr>
      <w:r>
        <w:t>Which products receive the highest average ratings?</w:t>
      </w:r>
    </w:p>
    <w:p>
      <w:pPr>
        <w:pStyle w:val="ListBullet"/>
        <w:spacing w:after="80"/>
        <w:ind w:left="403" w:hanging="259"/>
      </w:pPr>
      <w:r>
        <w:t>How do key shipping options compare?</w:t>
      </w:r>
    </w:p>
    <w:p>
      <w:pPr>
        <w:pStyle w:val="ListBullet"/>
        <w:spacing w:after="80"/>
        <w:ind w:left="403" w:hanging="259"/>
      </w:pPr>
      <w:r>
        <w:t>Do subscribed customers spend more than non-subscribers?</w:t>
      </w:r>
    </w:p>
    <w:p>
      <w:pPr>
        <w:pStyle w:val="ListBullet"/>
        <w:spacing w:after="80"/>
        <w:ind w:left="403" w:hanging="259"/>
      </w:pPr>
      <w:r>
        <w:t>Which items have the highest discount usage rate?</w:t>
      </w:r>
    </w:p>
    <w:p>
      <w:pPr>
        <w:pStyle w:val="ListBullet"/>
        <w:spacing w:after="80"/>
        <w:ind w:left="403" w:hanging="259"/>
      </w:pPr>
      <w:r>
        <w:t>How can customers be grouped as New, Returning, or Loyal?</w:t>
      </w:r>
    </w:p>
    <w:p>
      <w:pPr>
        <w:pStyle w:val="ListBullet"/>
        <w:spacing w:after="80"/>
        <w:ind w:left="403" w:hanging="259"/>
      </w:pPr>
      <w:r>
        <w:t>Which three products lead sales within each category?</w:t>
      </w:r>
    </w:p>
    <w:p>
      <w:pPr>
        <w:pStyle w:val="ListBullet"/>
        <w:spacing w:after="80"/>
        <w:ind w:left="403" w:hanging="259"/>
      </w:pPr>
      <w:r>
        <w:t>How does repeat purchasing differ by subscription status?</w:t>
      </w:r>
    </w:p>
    <w:p>
      <w:pPr>
        <w:pStyle w:val="ListBullet"/>
        <w:spacing w:after="80"/>
        <w:ind w:left="403" w:hanging="259"/>
      </w:pPr>
      <w:r>
        <w:t>Which age group contributes the most revenue?</w:t>
      </w:r>
    </w:p>
    <w:p>
      <w:pPr>
        <w:pStyle w:val="Heading2"/>
        <w:keepNext/>
      </w:pPr>
      <w:r>
        <w:t>Technology Stack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376"/>
            <w:shd w:fill="0F172A"/>
            <w:vAlign w:val="center"/>
            <w:tcMar>
              <w:top w:w="120" w:type="dxa"/>
              <w:start w:w="120" w:type="dxa"/>
              <w:bottom w:w="120" w:type="dxa"/>
              <w:end w:w="120" w:type="dxa"/>
            </w:tcMar>
          </w:tcPr>
          <w:p>
            <w:pPr>
              <w:spacing w:after="0"/>
              <w:jc w:val="center"/>
            </w:pPr>
            <w:r>
              <w:rPr>
                <w:rFonts w:ascii="Aptos" w:hAnsi="Aptos"/>
                <w:b/>
                <w:color w:val="FFFFFF"/>
                <w:sz w:val="19"/>
              </w:rPr>
              <w:t>Tool</w:t>
            </w:r>
          </w:p>
        </w:tc>
        <w:tc>
          <w:tcPr>
            <w:tcW w:type="dxa" w:w="7560"/>
            <w:shd w:fill="0F172A"/>
            <w:vAlign w:val="center"/>
            <w:tcMar>
              <w:top w:w="120" w:type="dxa"/>
              <w:start w:w="120" w:type="dxa"/>
              <w:bottom w:w="120" w:type="dxa"/>
              <w:end w:w="120" w:type="dxa"/>
            </w:tcMar>
          </w:tcPr>
          <w:p>
            <w:pPr>
              <w:spacing w:after="0"/>
              <w:jc w:val="center"/>
            </w:pPr>
            <w:r>
              <w:rPr>
                <w:rFonts w:ascii="Aptos" w:hAnsi="Aptos"/>
                <w:b/>
                <w:color w:val="FFFFFF"/>
                <w:sz w:val="19"/>
              </w:rPr>
              <w:t>Role in the Project</w:t>
            </w:r>
          </w:p>
        </w:tc>
      </w:tr>
      <w:tr>
        <w:tc>
          <w:tcPr>
            <w:tcW w:type="dxa" w:w="2376"/>
            <w:tcMar>
              <w:top w:w="75" w:type="dxa"/>
              <w:start w:w="110" w:type="dxa"/>
              <w:bottom w:w="75" w:type="dxa"/>
              <w:end w:w="110" w:type="dxa"/>
            </w:tcMar>
            <w:vAlign w:val="center"/>
          </w:tcPr>
          <w:p>
            <w:pPr>
              <w:spacing w:after="0" w:line="252" w:lineRule="auto"/>
              <w:jc w:val="center"/>
            </w:pPr>
            <w:r>
              <w:rPr>
                <w:rFonts w:ascii="Aptos" w:hAnsi="Aptos"/>
                <w:color w:val="172033"/>
                <w:sz w:val="19"/>
              </w:rPr>
              <w:t>Python and Pandas</w:t>
            </w:r>
          </w:p>
        </w:tc>
        <w:tc>
          <w:tcPr>
            <w:tcW w:type="dxa" w:w="7560"/>
            <w:tcMar>
              <w:top w:w="75" w:type="dxa"/>
              <w:start w:w="110" w:type="dxa"/>
              <w:bottom w:w="75" w:type="dxa"/>
              <w:end w:w="110" w:type="dxa"/>
            </w:tcMar>
            <w:vAlign w:val="center"/>
          </w:tcPr>
          <w:p>
            <w:pPr>
              <w:spacing w:after="0" w:line="252" w:lineRule="auto"/>
              <w:jc w:val="left"/>
            </w:pPr>
            <w:r>
              <w:rPr>
                <w:rFonts w:ascii="Aptos" w:hAnsi="Aptos"/>
                <w:color w:val="172033"/>
                <w:sz w:val="19"/>
              </w:rPr>
              <w:t>Exploration, missing-value treatment, renaming, and feature engineering</w:t>
            </w:r>
          </w:p>
        </w:tc>
      </w:tr>
      <w:tr>
        <w:tc>
          <w:tcPr>
            <w:tcW w:type="dxa" w:w="2376"/>
            <w:tcMar>
              <w:top w:w="75" w:type="dxa"/>
              <w:start w:w="110" w:type="dxa"/>
              <w:bottom w:w="75" w:type="dxa"/>
              <w:end w:w="110" w:type="dxa"/>
            </w:tcMar>
            <w:vAlign w:val="center"/>
            <w:shd w:fill="F3F6FA"/>
          </w:tcPr>
          <w:p>
            <w:pPr>
              <w:spacing w:after="0" w:line="252" w:lineRule="auto"/>
              <w:jc w:val="center"/>
            </w:pPr>
            <w:r>
              <w:rPr>
                <w:rFonts w:ascii="Aptos" w:hAnsi="Aptos"/>
                <w:color w:val="172033"/>
                <w:sz w:val="19"/>
              </w:rPr>
              <w:t>Jupyter Notebook</w:t>
            </w:r>
          </w:p>
        </w:tc>
        <w:tc>
          <w:tcPr>
            <w:tcW w:type="dxa" w:w="7560"/>
            <w:tcMar>
              <w:top w:w="75" w:type="dxa"/>
              <w:start w:w="110" w:type="dxa"/>
              <w:bottom w:w="75" w:type="dxa"/>
              <w:end w:w="110" w:type="dxa"/>
            </w:tcMar>
            <w:vAlign w:val="center"/>
            <w:shd w:fill="F3F6FA"/>
          </w:tcPr>
          <w:p>
            <w:pPr>
              <w:spacing w:after="0" w:line="252" w:lineRule="auto"/>
              <w:jc w:val="left"/>
            </w:pPr>
            <w:r>
              <w:rPr>
                <w:rFonts w:ascii="Aptos" w:hAnsi="Aptos"/>
                <w:color w:val="172033"/>
                <w:sz w:val="19"/>
              </w:rPr>
              <w:t>Documented and reproducible data-preparation workflow</w:t>
            </w:r>
          </w:p>
        </w:tc>
      </w:tr>
      <w:tr>
        <w:tc>
          <w:tcPr>
            <w:tcW w:type="dxa" w:w="2376"/>
            <w:tcMar>
              <w:top w:w="75" w:type="dxa"/>
              <w:start w:w="110" w:type="dxa"/>
              <w:bottom w:w="75" w:type="dxa"/>
              <w:end w:w="110" w:type="dxa"/>
            </w:tcMar>
            <w:vAlign w:val="center"/>
          </w:tcPr>
          <w:p>
            <w:pPr>
              <w:spacing w:after="0" w:line="252" w:lineRule="auto"/>
              <w:jc w:val="center"/>
            </w:pPr>
            <w:r>
              <w:rPr>
                <w:rFonts w:ascii="Aptos" w:hAnsi="Aptos"/>
                <w:color w:val="172033"/>
                <w:sz w:val="19"/>
              </w:rPr>
              <w:t>MySQL</w:t>
            </w:r>
          </w:p>
        </w:tc>
        <w:tc>
          <w:tcPr>
            <w:tcW w:type="dxa" w:w="7560"/>
            <w:tcMar>
              <w:top w:w="75" w:type="dxa"/>
              <w:start w:w="110" w:type="dxa"/>
              <w:bottom w:w="75" w:type="dxa"/>
              <w:end w:w="110" w:type="dxa"/>
            </w:tcMar>
            <w:vAlign w:val="center"/>
          </w:tcPr>
          <w:p>
            <w:pPr>
              <w:spacing w:after="0" w:line="252" w:lineRule="auto"/>
              <w:jc w:val="left"/>
            </w:pPr>
            <w:r>
              <w:rPr>
                <w:rFonts w:ascii="Aptos" w:hAnsi="Aptos"/>
                <w:color w:val="172033"/>
                <w:sz w:val="19"/>
              </w:rPr>
              <w:t>Business questions, aggregations, segmentation, CTEs, and window functions</w:t>
            </w:r>
          </w:p>
        </w:tc>
      </w:tr>
      <w:tr>
        <w:tc>
          <w:tcPr>
            <w:tcW w:type="dxa" w:w="2376"/>
            <w:tcMar>
              <w:top w:w="75" w:type="dxa"/>
              <w:start w:w="110" w:type="dxa"/>
              <w:bottom w:w="75" w:type="dxa"/>
              <w:end w:w="110" w:type="dxa"/>
            </w:tcMar>
            <w:vAlign w:val="center"/>
            <w:shd w:fill="F3F6FA"/>
          </w:tcPr>
          <w:p>
            <w:pPr>
              <w:spacing w:after="0" w:line="252" w:lineRule="auto"/>
              <w:jc w:val="center"/>
            </w:pPr>
            <w:r>
              <w:rPr>
                <w:rFonts w:ascii="Aptos" w:hAnsi="Aptos"/>
                <w:color w:val="172033"/>
                <w:sz w:val="19"/>
              </w:rPr>
              <w:t>Power BI</w:t>
            </w:r>
          </w:p>
        </w:tc>
        <w:tc>
          <w:tcPr>
            <w:tcW w:type="dxa" w:w="7560"/>
            <w:tcMar>
              <w:top w:w="75" w:type="dxa"/>
              <w:start w:w="110" w:type="dxa"/>
              <w:bottom w:w="75" w:type="dxa"/>
              <w:end w:w="110" w:type="dxa"/>
            </w:tcMar>
            <w:vAlign w:val="center"/>
            <w:shd w:fill="F3F6FA"/>
          </w:tcPr>
          <w:p>
            <w:pPr>
              <w:spacing w:after="0" w:line="252" w:lineRule="auto"/>
              <w:jc w:val="left"/>
            </w:pPr>
            <w:r>
              <w:rPr>
                <w:rFonts w:ascii="Aptos" w:hAnsi="Aptos"/>
                <w:color w:val="172033"/>
                <w:sz w:val="19"/>
              </w:rPr>
              <w:t>Data modeling, DAX measures, interactive filters, and final dashboard</w:t>
            </w:r>
          </w:p>
        </w:tc>
      </w:tr>
    </w:tbl>
    <w:p>
      <w:pPr>
        <w:pStyle w:val="Heading1"/>
        <w:keepNext/>
      </w:pPr>
      <w:r>
        <w:t>2 Dataset Understanding</w:t>
      </w:r>
    </w:p>
    <w:p>
      <w:pPr>
        <w:spacing w:after="100" w:line="259" w:lineRule="auto"/>
      </w:pPr>
      <w:r>
        <w:t>The dataset contains 3,900 rows and 18 original columns. Each row represents one customer shopping record and combines demographic, product, purchase, promotion, shipping, engagement, and payment information.</w:t>
      </w:r>
    </w:p>
    <w:p>
      <w:pPr>
        <w:keepNext/>
        <w:jc w:val="center"/>
      </w:pPr>
      <w:r>
        <w:drawing>
          <wp:inline xmlns:a="http://schemas.openxmlformats.org/drawingml/2006/main" xmlns:pic="http://schemas.openxmlformats.org/drawingml/2006/picture">
            <wp:extent cx="5943600" cy="3672296"/>
            <wp:docPr id="2" name="Picture 2"/>
            <wp:cNvGraphicFramePr>
              <a:graphicFrameLocks noChangeAspect="1"/>
            </wp:cNvGraphicFramePr>
            <a:graphic>
              <a:graphicData uri="http://schemas.openxmlformats.org/drawingml/2006/picture">
                <pic:pic>
                  <pic:nvPicPr>
                    <pic:cNvPr id="0" name="data_profile.png"/>
                    <pic:cNvPicPr/>
                  </pic:nvPicPr>
                  <pic:blipFill>
                    <a:blip r:embed="rId11"/>
                    <a:stretch>
                      <a:fillRect/>
                    </a:stretch>
                  </pic:blipFill>
                  <pic:spPr>
                    <a:xfrm>
                      <a:off x="0" y="0"/>
                      <a:ext cx="5943600" cy="3672296"/>
                    </a:xfrm>
                    <a:prstGeom prst="rect"/>
                  </pic:spPr>
                </pic:pic>
              </a:graphicData>
            </a:graphic>
          </wp:inline>
        </w:drawing>
      </w:r>
    </w:p>
    <w:p>
      <w:pPr>
        <w:spacing w:after="180"/>
        <w:jc w:val="center"/>
      </w:pPr>
      <w:r>
        <w:rPr>
          <w:rFonts w:ascii="Aptos" w:hAnsi="Aptos"/>
          <w:i/>
          <w:color w:val="64748B"/>
          <w:sz w:val="18"/>
        </w:rPr>
        <w:t>Initial data preview and structure inspection in Jupyter Notebook</w:t>
      </w:r>
    </w:p>
    <w:p>
      <w:pPr>
        <w:pStyle w:val="Heading2"/>
        <w:keepNext/>
      </w:pPr>
      <w:r>
        <w:t>Field Groups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512"/>
            <w:shd w:fill="0F172A"/>
            <w:vAlign w:val="center"/>
            <w:tcMar>
              <w:top w:w="120" w:type="dxa"/>
              <w:start w:w="120" w:type="dxa"/>
              <w:bottom w:w="120" w:type="dxa"/>
              <w:end w:w="120" w:type="dxa"/>
            </w:tcMar>
          </w:tcPr>
          <w:p>
            <w:pPr>
              <w:spacing w:after="0"/>
              <w:jc w:val="center"/>
            </w:pPr>
            <w:r>
              <w:rPr>
                <w:rFonts w:ascii="Aptos" w:hAnsi="Aptos"/>
                <w:b/>
                <w:color w:val="FFFFFF"/>
                <w:sz w:val="19"/>
              </w:rPr>
              <w:t>Group</w:t>
            </w:r>
          </w:p>
        </w:tc>
        <w:tc>
          <w:tcPr>
            <w:tcW w:type="dxa" w:w="4104"/>
            <w:shd w:fill="0F172A"/>
            <w:vAlign w:val="center"/>
            <w:tcMar>
              <w:top w:w="120" w:type="dxa"/>
              <w:start w:w="120" w:type="dxa"/>
              <w:bottom w:w="120" w:type="dxa"/>
              <w:end w:w="120" w:type="dxa"/>
            </w:tcMar>
          </w:tcPr>
          <w:p>
            <w:pPr>
              <w:spacing w:after="0"/>
              <w:jc w:val="center"/>
            </w:pPr>
            <w:r>
              <w:rPr>
                <w:rFonts w:ascii="Aptos" w:hAnsi="Aptos"/>
                <w:b/>
                <w:color w:val="FFFFFF"/>
                <w:sz w:val="19"/>
              </w:rPr>
              <w:t>Fields</w:t>
            </w:r>
          </w:p>
        </w:tc>
        <w:tc>
          <w:tcPr>
            <w:tcW w:type="dxa" w:w="4320"/>
            <w:shd w:fill="0F172A"/>
            <w:vAlign w:val="center"/>
            <w:tcMar>
              <w:top w:w="120" w:type="dxa"/>
              <w:start w:w="120" w:type="dxa"/>
              <w:bottom w:w="120" w:type="dxa"/>
              <w:end w:w="120" w:type="dxa"/>
            </w:tcMar>
          </w:tcPr>
          <w:p>
            <w:pPr>
              <w:spacing w:after="0"/>
              <w:jc w:val="center"/>
            </w:pPr>
            <w:r>
              <w:rPr>
                <w:rFonts w:ascii="Aptos" w:hAnsi="Aptos"/>
                <w:b/>
                <w:color w:val="FFFFFF"/>
                <w:sz w:val="19"/>
              </w:rPr>
              <w:t>Analytical Use</w:t>
            </w:r>
          </w:p>
        </w:tc>
      </w:tr>
      <w:tr>
        <w:tc>
          <w:tcPr>
            <w:tcW w:type="dxa" w:w="1512"/>
            <w:tcMar>
              <w:top w:w="75" w:type="dxa"/>
              <w:start w:w="110" w:type="dxa"/>
              <w:bottom w:w="75" w:type="dxa"/>
              <w:end w:w="110" w:type="dxa"/>
            </w:tcMar>
            <w:vAlign w:val="center"/>
          </w:tcPr>
          <w:p>
            <w:pPr>
              <w:spacing w:after="0" w:line="252" w:lineRule="auto"/>
              <w:jc w:val="center"/>
            </w:pPr>
            <w:r>
              <w:rPr>
                <w:rFonts w:ascii="Aptos" w:hAnsi="Aptos"/>
                <w:color w:val="172033"/>
                <w:sz w:val="17"/>
              </w:rPr>
              <w:t>Customer</w:t>
            </w:r>
          </w:p>
        </w:tc>
        <w:tc>
          <w:tcPr>
            <w:tcW w:type="dxa" w:w="4104"/>
            <w:tcMar>
              <w:top w:w="75" w:type="dxa"/>
              <w:start w:w="110" w:type="dxa"/>
              <w:bottom w:w="75" w:type="dxa"/>
              <w:end w:w="110" w:type="dxa"/>
            </w:tcMar>
            <w:vAlign w:val="center"/>
          </w:tcPr>
          <w:p>
            <w:pPr>
              <w:spacing w:after="0" w:line="252" w:lineRule="auto"/>
              <w:jc w:val="left"/>
            </w:pPr>
            <w:r>
              <w:rPr>
                <w:rFonts w:ascii="Aptos" w:hAnsi="Aptos"/>
                <w:color w:val="172033"/>
                <w:sz w:val="17"/>
              </w:rPr>
              <w:t>Customer ID, Age, Gender, Location</w:t>
            </w:r>
          </w:p>
        </w:tc>
        <w:tc>
          <w:tcPr>
            <w:tcW w:type="dxa" w:w="4320"/>
            <w:tcMar>
              <w:top w:w="75" w:type="dxa"/>
              <w:start w:w="110" w:type="dxa"/>
              <w:bottom w:w="75" w:type="dxa"/>
              <w:end w:w="110" w:type="dxa"/>
            </w:tcMar>
            <w:vAlign w:val="center"/>
          </w:tcPr>
          <w:p>
            <w:pPr>
              <w:spacing w:after="0" w:line="252" w:lineRule="auto"/>
              <w:jc w:val="left"/>
            </w:pPr>
            <w:r>
              <w:rPr>
                <w:rFonts w:ascii="Aptos" w:hAnsi="Aptos"/>
                <w:color w:val="172033"/>
                <w:sz w:val="17"/>
              </w:rPr>
              <w:t>Customer profiling and geographic or demographic segmentation</w:t>
            </w:r>
          </w:p>
        </w:tc>
      </w:tr>
      <w:tr>
        <w:tc>
          <w:tcPr>
            <w:tcW w:type="dxa" w:w="1512"/>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Product</w:t>
            </w:r>
          </w:p>
        </w:tc>
        <w:tc>
          <w:tcPr>
            <w:tcW w:type="dxa" w:w="410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Item Purchased, Category, Size, Color, Season</w:t>
            </w:r>
          </w:p>
        </w:tc>
        <w:tc>
          <w:tcPr>
            <w:tcW w:type="dxa" w:w="4320"/>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Product mix, category performance, and preference analysis</w:t>
            </w:r>
          </w:p>
        </w:tc>
      </w:tr>
      <w:tr>
        <w:tc>
          <w:tcPr>
            <w:tcW w:type="dxa" w:w="1512"/>
            <w:tcMar>
              <w:top w:w="75" w:type="dxa"/>
              <w:start w:w="110" w:type="dxa"/>
              <w:bottom w:w="75" w:type="dxa"/>
              <w:end w:w="110" w:type="dxa"/>
            </w:tcMar>
            <w:vAlign w:val="center"/>
          </w:tcPr>
          <w:p>
            <w:pPr>
              <w:spacing w:after="0" w:line="252" w:lineRule="auto"/>
              <w:jc w:val="center"/>
            </w:pPr>
            <w:r>
              <w:rPr>
                <w:rFonts w:ascii="Aptos" w:hAnsi="Aptos"/>
                <w:color w:val="172033"/>
                <w:sz w:val="17"/>
              </w:rPr>
              <w:t>Purchase</w:t>
            </w:r>
          </w:p>
        </w:tc>
        <w:tc>
          <w:tcPr>
            <w:tcW w:type="dxa" w:w="4104"/>
            <w:tcMar>
              <w:top w:w="75" w:type="dxa"/>
              <w:start w:w="110" w:type="dxa"/>
              <w:bottom w:w="75" w:type="dxa"/>
              <w:end w:w="110" w:type="dxa"/>
            </w:tcMar>
            <w:vAlign w:val="center"/>
          </w:tcPr>
          <w:p>
            <w:pPr>
              <w:spacing w:after="0" w:line="252" w:lineRule="auto"/>
              <w:jc w:val="left"/>
            </w:pPr>
            <w:r>
              <w:rPr>
                <w:rFonts w:ascii="Aptos" w:hAnsi="Aptos"/>
                <w:color w:val="172033"/>
                <w:sz w:val="17"/>
              </w:rPr>
              <w:t>Purchase Amount, Previous Purchases, Frequency of Purchases</w:t>
            </w:r>
          </w:p>
        </w:tc>
        <w:tc>
          <w:tcPr>
            <w:tcW w:type="dxa" w:w="4320"/>
            <w:tcMar>
              <w:top w:w="75" w:type="dxa"/>
              <w:start w:w="110" w:type="dxa"/>
              <w:bottom w:w="75" w:type="dxa"/>
              <w:end w:w="110" w:type="dxa"/>
            </w:tcMar>
            <w:vAlign w:val="center"/>
          </w:tcPr>
          <w:p>
            <w:pPr>
              <w:spacing w:after="0" w:line="252" w:lineRule="auto"/>
              <w:jc w:val="left"/>
            </w:pPr>
            <w:r>
              <w:rPr>
                <w:rFonts w:ascii="Aptos" w:hAnsi="Aptos"/>
                <w:color w:val="172033"/>
                <w:sz w:val="17"/>
              </w:rPr>
              <w:t>Revenue, value, frequency, and loyalty analysis</w:t>
            </w:r>
          </w:p>
        </w:tc>
      </w:tr>
      <w:tr>
        <w:tc>
          <w:tcPr>
            <w:tcW w:type="dxa" w:w="1512"/>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Experience</w:t>
            </w:r>
          </w:p>
        </w:tc>
        <w:tc>
          <w:tcPr>
            <w:tcW w:type="dxa" w:w="410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Review Rating, Shipping Type, Payment Method</w:t>
            </w:r>
          </w:p>
        </w:tc>
        <w:tc>
          <w:tcPr>
            <w:tcW w:type="dxa" w:w="4320"/>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Service preference and satisfaction analysis</w:t>
            </w:r>
          </w:p>
        </w:tc>
      </w:tr>
      <w:tr>
        <w:tc>
          <w:tcPr>
            <w:tcW w:type="dxa" w:w="1512"/>
            <w:tcMar>
              <w:top w:w="75" w:type="dxa"/>
              <w:start w:w="110" w:type="dxa"/>
              <w:bottom w:w="75" w:type="dxa"/>
              <w:end w:w="110" w:type="dxa"/>
            </w:tcMar>
            <w:vAlign w:val="center"/>
          </w:tcPr>
          <w:p>
            <w:pPr>
              <w:spacing w:after="0" w:line="252" w:lineRule="auto"/>
              <w:jc w:val="center"/>
            </w:pPr>
            <w:r>
              <w:rPr>
                <w:rFonts w:ascii="Aptos" w:hAnsi="Aptos"/>
                <w:color w:val="172033"/>
                <w:sz w:val="17"/>
              </w:rPr>
              <w:t>Promotion</w:t>
            </w:r>
          </w:p>
        </w:tc>
        <w:tc>
          <w:tcPr>
            <w:tcW w:type="dxa" w:w="4104"/>
            <w:tcMar>
              <w:top w:w="75" w:type="dxa"/>
              <w:start w:w="110" w:type="dxa"/>
              <w:bottom w:w="75" w:type="dxa"/>
              <w:end w:w="110" w:type="dxa"/>
            </w:tcMar>
            <w:vAlign w:val="center"/>
          </w:tcPr>
          <w:p>
            <w:pPr>
              <w:spacing w:after="0" w:line="252" w:lineRule="auto"/>
              <w:jc w:val="left"/>
            </w:pPr>
            <w:r>
              <w:rPr>
                <w:rFonts w:ascii="Aptos" w:hAnsi="Aptos"/>
                <w:color w:val="172033"/>
                <w:sz w:val="17"/>
              </w:rPr>
              <w:t>Discount Applied, Promo Code Used, Subscription Status</w:t>
            </w:r>
          </w:p>
        </w:tc>
        <w:tc>
          <w:tcPr>
            <w:tcW w:type="dxa" w:w="4320"/>
            <w:tcMar>
              <w:top w:w="75" w:type="dxa"/>
              <w:start w:w="110" w:type="dxa"/>
              <w:bottom w:w="75" w:type="dxa"/>
              <w:end w:w="110" w:type="dxa"/>
            </w:tcMar>
            <w:vAlign w:val="center"/>
          </w:tcPr>
          <w:p>
            <w:pPr>
              <w:spacing w:after="0" w:line="252" w:lineRule="auto"/>
              <w:jc w:val="left"/>
            </w:pPr>
            <w:r>
              <w:rPr>
                <w:rFonts w:ascii="Aptos" w:hAnsi="Aptos"/>
                <w:color w:val="172033"/>
                <w:sz w:val="17"/>
              </w:rPr>
              <w:t>Offer response and subscription analysis</w:t>
            </w:r>
          </w:p>
        </w:tc>
      </w:tr>
    </w:tbl>
    <w:p>
      <w:pPr>
        <w:pStyle w:val="Heading1"/>
        <w:keepNext/>
      </w:pPr>
      <w:r>
        <w:t>3 Data Cleaning and Feature Engineering</w:t>
      </w:r>
    </w:p>
    <w:p>
      <w:pPr>
        <w:pStyle w:val="Heading2"/>
        <w:keepNext/>
      </w:pPr>
      <w:r>
        <w:t>Step 1 Data Profiling</w:t>
      </w:r>
    </w:p>
    <w:p>
      <w:pPr>
        <w:spacing w:after="100" w:line="259" w:lineRule="auto"/>
      </w:pPr>
      <w:r>
        <w:t>The dataset was inspected with df.info(), descriptive statistics, and null counts. Seventeen columns were complete. Review Rating contained 3,863 non-null values, leaving 37 missing values to resolve.</w:t>
      </w:r>
    </w:p>
    <w:p>
      <w:pPr>
        <w:pStyle w:val="Heading2"/>
        <w:keepNext/>
      </w:pPr>
      <w:r>
        <w:t>Step 2 Missing Value Treatment</w:t>
      </w:r>
    </w:p>
    <w:p>
      <w:pPr>
        <w:spacing w:after="100" w:line="259" w:lineRule="auto"/>
      </w:pPr>
      <w:r>
        <w:t>Missing review ratings were filled with the median rating of the corresponding product category. Category-level median imputation preserves differences between categories and is less sensitive to extreme ratings than a mean-based replacement.</w:t>
      </w:r>
    </w:p>
    <w:p>
      <w:pPr>
        <w:pStyle w:val="Heading2"/>
        <w:keepNext/>
      </w:pPr>
      <w:r>
        <w:t>Step 3 Column Standardization</w:t>
      </w:r>
    </w:p>
    <w:p>
      <w:pPr>
        <w:spacing w:after="100" w:line="259" w:lineRule="auto"/>
      </w:pPr>
      <w:r>
        <w:t>Column names were converted to lowercase snake_case by trimming whitespace and replacing spaces with underscores. Purchase Amount (USD) was renamed to purchase_amount. This produced SQL-friendly, consistent field names such as customer_id, item_purchased, review_rating, and subscription_status.</w:t>
      </w:r>
    </w:p>
    <w:p>
      <w:pPr>
        <w:pStyle w:val="Heading2"/>
        <w:keepNext/>
      </w:pPr>
      <w:r>
        <w:t>Step 4 Feature Engineering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232"/>
            <w:shd w:fill="0F172A"/>
            <w:vAlign w:val="center"/>
            <w:tcMar>
              <w:top w:w="120" w:type="dxa"/>
              <w:start w:w="120" w:type="dxa"/>
              <w:bottom w:w="120" w:type="dxa"/>
              <w:end w:w="120" w:type="dxa"/>
            </w:tcMar>
          </w:tcPr>
          <w:p>
            <w:pPr>
              <w:spacing w:after="0"/>
              <w:jc w:val="center"/>
            </w:pPr>
            <w:r>
              <w:rPr>
                <w:rFonts w:ascii="Aptos" w:hAnsi="Aptos"/>
                <w:b/>
                <w:color w:val="FFFFFF"/>
                <w:sz w:val="19"/>
              </w:rPr>
              <w:t>New Field</w:t>
            </w:r>
          </w:p>
        </w:tc>
        <w:tc>
          <w:tcPr>
            <w:tcW w:type="dxa" w:w="4536"/>
            <w:shd w:fill="0F172A"/>
            <w:vAlign w:val="center"/>
            <w:tcMar>
              <w:top w:w="120" w:type="dxa"/>
              <w:start w:w="120" w:type="dxa"/>
              <w:bottom w:w="120" w:type="dxa"/>
              <w:end w:w="120" w:type="dxa"/>
            </w:tcMar>
          </w:tcPr>
          <w:p>
            <w:pPr>
              <w:spacing w:after="0"/>
              <w:jc w:val="center"/>
            </w:pPr>
            <w:r>
              <w:rPr>
                <w:rFonts w:ascii="Aptos" w:hAnsi="Aptos"/>
                <w:b/>
                <w:color w:val="FFFFFF"/>
                <w:sz w:val="19"/>
              </w:rPr>
              <w:t>Logic</w:t>
            </w:r>
          </w:p>
        </w:tc>
        <w:tc>
          <w:tcPr>
            <w:tcW w:type="dxa" w:w="3168"/>
            <w:shd w:fill="0F172A"/>
            <w:vAlign w:val="center"/>
            <w:tcMar>
              <w:top w:w="120" w:type="dxa"/>
              <w:start w:w="120" w:type="dxa"/>
              <w:bottom w:w="120" w:type="dxa"/>
              <w:end w:w="120" w:type="dxa"/>
            </w:tcMar>
          </w:tcPr>
          <w:p>
            <w:pPr>
              <w:spacing w:after="0"/>
              <w:jc w:val="center"/>
            </w:pPr>
            <w:r>
              <w:rPr>
                <w:rFonts w:ascii="Aptos" w:hAnsi="Aptos"/>
                <w:b/>
                <w:color w:val="FFFFFF"/>
                <w:sz w:val="19"/>
              </w:rPr>
              <w:t>Why It Matters</w:t>
            </w:r>
          </w:p>
        </w:tc>
      </w:tr>
      <w:tr>
        <w:tc>
          <w:tcPr>
            <w:tcW w:type="dxa" w:w="2232"/>
            <w:tcMar>
              <w:top w:w="75" w:type="dxa"/>
              <w:start w:w="110" w:type="dxa"/>
              <w:bottom w:w="75" w:type="dxa"/>
              <w:end w:w="110" w:type="dxa"/>
            </w:tcMar>
            <w:vAlign w:val="center"/>
          </w:tcPr>
          <w:p>
            <w:pPr>
              <w:spacing w:after="0" w:line="252" w:lineRule="auto"/>
              <w:jc w:val="center"/>
            </w:pPr>
            <w:r>
              <w:rPr>
                <w:rFonts w:ascii="Aptos" w:hAnsi="Aptos"/>
                <w:color w:val="172033"/>
                <w:sz w:val="17"/>
              </w:rPr>
              <w:t>age_group</w:t>
            </w:r>
          </w:p>
        </w:tc>
        <w:tc>
          <w:tcPr>
            <w:tcW w:type="dxa" w:w="4536"/>
            <w:tcMar>
              <w:top w:w="75" w:type="dxa"/>
              <w:start w:w="110" w:type="dxa"/>
              <w:bottom w:w="75" w:type="dxa"/>
              <w:end w:w="110" w:type="dxa"/>
            </w:tcMar>
            <w:vAlign w:val="center"/>
          </w:tcPr>
          <w:p>
            <w:pPr>
              <w:spacing w:after="0" w:line="252" w:lineRule="auto"/>
              <w:jc w:val="left"/>
            </w:pPr>
            <w:r>
              <w:rPr>
                <w:rFonts w:ascii="Aptos" w:hAnsi="Aptos"/>
                <w:color w:val="172033"/>
                <w:sz w:val="17"/>
              </w:rPr>
              <w:t>Age ranges classified into Young Adult, Adult, Middle-aged, and Senior</w:t>
            </w:r>
          </w:p>
        </w:tc>
        <w:tc>
          <w:tcPr>
            <w:tcW w:type="dxa" w:w="3168"/>
            <w:tcMar>
              <w:top w:w="75" w:type="dxa"/>
              <w:start w:w="110" w:type="dxa"/>
              <w:bottom w:w="75" w:type="dxa"/>
              <w:end w:w="110" w:type="dxa"/>
            </w:tcMar>
            <w:vAlign w:val="center"/>
          </w:tcPr>
          <w:p>
            <w:pPr>
              <w:spacing w:after="0" w:line="252" w:lineRule="auto"/>
              <w:jc w:val="left"/>
            </w:pPr>
            <w:r>
              <w:rPr>
                <w:rFonts w:ascii="Aptos" w:hAnsi="Aptos"/>
                <w:color w:val="172033"/>
                <w:sz w:val="17"/>
              </w:rPr>
              <w:t>Supports demographic comparison of revenue and sales</w:t>
            </w:r>
          </w:p>
        </w:tc>
      </w:tr>
      <w:tr>
        <w:tc>
          <w:tcPr>
            <w:tcW w:type="dxa" w:w="2232"/>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purchase_frequency_days</w:t>
            </w:r>
          </w:p>
        </w:tc>
        <w:tc>
          <w:tcPr>
            <w:tcW w:type="dxa" w:w="4536"/>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Frequency labels mapped to approximate days such as Weekly 7, Fortnightly 14, Monthly 30, Quarterly 90, and Annually 365</w:t>
            </w:r>
          </w:p>
        </w:tc>
        <w:tc>
          <w:tcPr>
            <w:tcW w:type="dxa" w:w="3168"/>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Converts text frequency into an analysis-ready numeric interval</w:t>
            </w:r>
          </w:p>
        </w:tc>
      </w:tr>
      <w:tr>
        <w:tc>
          <w:tcPr>
            <w:tcW w:type="dxa" w:w="2232"/>
            <w:tcMar>
              <w:top w:w="75" w:type="dxa"/>
              <w:start w:w="110" w:type="dxa"/>
              <w:bottom w:w="75" w:type="dxa"/>
              <w:end w:w="110" w:type="dxa"/>
            </w:tcMar>
            <w:vAlign w:val="center"/>
          </w:tcPr>
          <w:p>
            <w:pPr>
              <w:spacing w:after="0" w:line="252" w:lineRule="auto"/>
              <w:jc w:val="center"/>
            </w:pPr>
            <w:r>
              <w:rPr>
                <w:rFonts w:ascii="Aptos" w:hAnsi="Aptos"/>
                <w:color w:val="172033"/>
                <w:sz w:val="17"/>
              </w:rPr>
              <w:t>customer_segment</w:t>
            </w:r>
          </w:p>
        </w:tc>
        <w:tc>
          <w:tcPr>
            <w:tcW w:type="dxa" w:w="4536"/>
            <w:tcMar>
              <w:top w:w="75" w:type="dxa"/>
              <w:start w:w="110" w:type="dxa"/>
              <w:bottom w:w="75" w:type="dxa"/>
              <w:end w:w="110" w:type="dxa"/>
            </w:tcMar>
            <w:vAlign w:val="center"/>
          </w:tcPr>
          <w:p>
            <w:pPr>
              <w:spacing w:after="0" w:line="252" w:lineRule="auto"/>
              <w:jc w:val="left"/>
            </w:pPr>
            <w:r>
              <w:rPr>
                <w:rFonts w:ascii="Aptos" w:hAnsi="Aptos"/>
                <w:color w:val="172033"/>
                <w:sz w:val="17"/>
              </w:rPr>
              <w:t>Previous purchases used to classify New, Returning, and Loyal customers</w:t>
            </w:r>
          </w:p>
        </w:tc>
        <w:tc>
          <w:tcPr>
            <w:tcW w:type="dxa" w:w="3168"/>
            <w:tcMar>
              <w:top w:w="75" w:type="dxa"/>
              <w:start w:w="110" w:type="dxa"/>
              <w:bottom w:w="75" w:type="dxa"/>
              <w:end w:w="110" w:type="dxa"/>
            </w:tcMar>
            <w:vAlign w:val="center"/>
          </w:tcPr>
          <w:p>
            <w:pPr>
              <w:spacing w:after="0" w:line="252" w:lineRule="auto"/>
              <w:jc w:val="left"/>
            </w:pPr>
            <w:r>
              <w:rPr>
                <w:rFonts w:ascii="Aptos" w:hAnsi="Aptos"/>
                <w:color w:val="172033"/>
                <w:sz w:val="17"/>
              </w:rPr>
              <w:t>Creates an actionable loyalty view for SQL analysis</w:t>
            </w:r>
          </w:p>
        </w:tc>
      </w:tr>
    </w:tbl>
    <w:p>
      <w:pPr>
        <w:pStyle w:val="Heading2"/>
        <w:keepNext/>
      </w:pPr>
      <w:r>
        <w:t>Step 5 Quality Verification</w:t>
      </w:r>
    </w:p>
    <w:p>
      <w:pPr>
        <w:spacing w:after="100" w:line="259" w:lineRule="auto"/>
      </w:pPr>
      <w:r>
        <w:t>Null counts were checked again after imputation. The cleaned column list and derived fields were reviewed before the data was loaded into MySQL and Power BI.</w:t>
      </w:r>
    </w:p>
    <w:p>
      <w:pPr>
        <w:pStyle w:val="Heading1"/>
        <w:keepNext/>
      </w:pPr>
      <w:r>
        <w:t>4 SQL Business Analysis</w:t>
      </w:r>
    </w:p>
    <w:p>
      <w:pPr>
        <w:spacing w:after="100" w:line="259" w:lineRule="auto"/>
      </w:pPr>
      <w:r>
        <w:t>Ten SQL questions were designed to move beyond descriptive totals and test revenue, customer value, discount behavior, product performance, subscription engagement, and loyalty. The work demonstrates filtering, grouping, conditional logic, subqueries, common table expressions, and window functions.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648"/>
            <w:shd w:fill="0F172A"/>
            <w:vAlign w:val="center"/>
            <w:tcMar>
              <w:top w:w="120" w:type="dxa"/>
              <w:start w:w="120" w:type="dxa"/>
              <w:bottom w:w="120" w:type="dxa"/>
              <w:end w:w="120" w:type="dxa"/>
            </w:tcMar>
          </w:tcPr>
          <w:p>
            <w:pPr>
              <w:spacing w:after="0"/>
              <w:jc w:val="center"/>
            </w:pPr>
            <w:r>
              <w:rPr>
                <w:rFonts w:ascii="Aptos" w:hAnsi="Aptos"/>
                <w:b/>
                <w:color w:val="FFFFFF"/>
                <w:sz w:val="19"/>
              </w:rPr>
              <w:t>No</w:t>
            </w:r>
          </w:p>
        </w:tc>
        <w:tc>
          <w:tcPr>
            <w:tcW w:type="dxa" w:w="6264"/>
            <w:shd w:fill="0F172A"/>
            <w:vAlign w:val="center"/>
            <w:tcMar>
              <w:top w:w="120" w:type="dxa"/>
              <w:start w:w="120" w:type="dxa"/>
              <w:bottom w:w="120" w:type="dxa"/>
              <w:end w:w="120" w:type="dxa"/>
            </w:tcMar>
          </w:tcPr>
          <w:p>
            <w:pPr>
              <w:spacing w:after="0"/>
              <w:jc w:val="center"/>
            </w:pPr>
            <w:r>
              <w:rPr>
                <w:rFonts w:ascii="Aptos" w:hAnsi="Aptos"/>
                <w:b/>
                <w:color w:val="FFFFFF"/>
                <w:sz w:val="19"/>
              </w:rPr>
              <w:t>Business Question</w:t>
            </w:r>
          </w:p>
        </w:tc>
        <w:tc>
          <w:tcPr>
            <w:tcW w:type="dxa" w:w="3024"/>
            <w:shd w:fill="0F172A"/>
            <w:vAlign w:val="center"/>
            <w:tcMar>
              <w:top w:w="120" w:type="dxa"/>
              <w:start w:w="120" w:type="dxa"/>
              <w:bottom w:w="120" w:type="dxa"/>
              <w:end w:w="120" w:type="dxa"/>
            </w:tcMar>
          </w:tcPr>
          <w:p>
            <w:pPr>
              <w:spacing w:after="0"/>
              <w:jc w:val="center"/>
            </w:pPr>
            <w:r>
              <w:rPr>
                <w:rFonts w:ascii="Aptos" w:hAnsi="Aptos"/>
                <w:b/>
                <w:color w:val="FFFFFF"/>
                <w:sz w:val="19"/>
              </w:rPr>
              <w:t>SQL Technique</w:t>
            </w:r>
          </w:p>
        </w:tc>
      </w:tr>
      <w:tr>
        <w:tc>
          <w:tcPr>
            <w:tcW w:type="dxa" w:w="648"/>
            <w:tcMar>
              <w:top w:w="75" w:type="dxa"/>
              <w:start w:w="110" w:type="dxa"/>
              <w:bottom w:w="75" w:type="dxa"/>
              <w:end w:w="110" w:type="dxa"/>
            </w:tcMar>
            <w:vAlign w:val="center"/>
          </w:tcPr>
          <w:p>
            <w:pPr>
              <w:spacing w:after="0" w:line="252" w:lineRule="auto"/>
              <w:jc w:val="center"/>
            </w:pPr>
            <w:r>
              <w:rPr>
                <w:rFonts w:ascii="Aptos" w:hAnsi="Aptos"/>
                <w:color w:val="172033"/>
                <w:sz w:val="17"/>
              </w:rPr>
              <w:t>1</w:t>
            </w:r>
          </w:p>
        </w:tc>
        <w:tc>
          <w:tcPr>
            <w:tcW w:type="dxa" w:w="6264"/>
            <w:tcMar>
              <w:top w:w="75" w:type="dxa"/>
              <w:start w:w="110" w:type="dxa"/>
              <w:bottom w:w="75" w:type="dxa"/>
              <w:end w:w="110" w:type="dxa"/>
            </w:tcMar>
            <w:vAlign w:val="center"/>
          </w:tcPr>
          <w:p>
            <w:pPr>
              <w:spacing w:after="0" w:line="252" w:lineRule="auto"/>
              <w:jc w:val="left"/>
            </w:pPr>
            <w:r>
              <w:rPr>
                <w:rFonts w:ascii="Aptos" w:hAnsi="Aptos"/>
                <w:color w:val="172033"/>
                <w:sz w:val="17"/>
              </w:rPr>
              <w:t>Revenue generated by male versus female customers</w:t>
            </w:r>
          </w:p>
        </w:tc>
        <w:tc>
          <w:tcPr>
            <w:tcW w:type="dxa" w:w="3024"/>
            <w:tcMar>
              <w:top w:w="75" w:type="dxa"/>
              <w:start w:w="110" w:type="dxa"/>
              <w:bottom w:w="75" w:type="dxa"/>
              <w:end w:w="110" w:type="dxa"/>
            </w:tcMar>
            <w:vAlign w:val="center"/>
          </w:tcPr>
          <w:p>
            <w:pPr>
              <w:spacing w:after="0" w:line="252" w:lineRule="auto"/>
              <w:jc w:val="center"/>
            </w:pPr>
            <w:r>
              <w:rPr>
                <w:rFonts w:ascii="Aptos" w:hAnsi="Aptos"/>
                <w:color w:val="172033"/>
                <w:sz w:val="17"/>
              </w:rPr>
              <w:t>SUM and GROUP BY</w:t>
            </w:r>
          </w:p>
        </w:tc>
      </w:tr>
      <w:tr>
        <w:tc>
          <w:tcPr>
            <w:tcW w:type="dxa" w:w="648"/>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2</w:t>
            </w:r>
          </w:p>
        </w:tc>
        <w:tc>
          <w:tcPr>
            <w:tcW w:type="dxa" w:w="626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Discount users spending at or above average</w:t>
            </w:r>
          </w:p>
        </w:tc>
        <w:tc>
          <w:tcPr>
            <w:tcW w:type="dxa" w:w="302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Subquery and filtering</w:t>
            </w:r>
          </w:p>
        </w:tc>
      </w:tr>
      <w:tr>
        <w:tc>
          <w:tcPr>
            <w:tcW w:type="dxa" w:w="648"/>
            <w:tcMar>
              <w:top w:w="75" w:type="dxa"/>
              <w:start w:w="110" w:type="dxa"/>
              <w:bottom w:w="75" w:type="dxa"/>
              <w:end w:w="110" w:type="dxa"/>
            </w:tcMar>
            <w:vAlign w:val="center"/>
          </w:tcPr>
          <w:p>
            <w:pPr>
              <w:spacing w:after="0" w:line="252" w:lineRule="auto"/>
              <w:jc w:val="center"/>
            </w:pPr>
            <w:r>
              <w:rPr>
                <w:rFonts w:ascii="Aptos" w:hAnsi="Aptos"/>
                <w:color w:val="172033"/>
                <w:sz w:val="17"/>
              </w:rPr>
              <w:t>3</w:t>
            </w:r>
          </w:p>
        </w:tc>
        <w:tc>
          <w:tcPr>
            <w:tcW w:type="dxa" w:w="6264"/>
            <w:tcMar>
              <w:top w:w="75" w:type="dxa"/>
              <w:start w:w="110" w:type="dxa"/>
              <w:bottom w:w="75" w:type="dxa"/>
              <w:end w:w="110" w:type="dxa"/>
            </w:tcMar>
            <w:vAlign w:val="center"/>
          </w:tcPr>
          <w:p>
            <w:pPr>
              <w:spacing w:after="0" w:line="252" w:lineRule="auto"/>
              <w:jc w:val="left"/>
            </w:pPr>
            <w:r>
              <w:rPr>
                <w:rFonts w:ascii="Aptos" w:hAnsi="Aptos"/>
                <w:color w:val="172033"/>
                <w:sz w:val="17"/>
              </w:rPr>
              <w:t>Top five products by average review rating</w:t>
            </w:r>
          </w:p>
        </w:tc>
        <w:tc>
          <w:tcPr>
            <w:tcW w:type="dxa" w:w="3024"/>
            <w:tcMar>
              <w:top w:w="75" w:type="dxa"/>
              <w:start w:w="110" w:type="dxa"/>
              <w:bottom w:w="75" w:type="dxa"/>
              <w:end w:w="110" w:type="dxa"/>
            </w:tcMar>
            <w:vAlign w:val="center"/>
          </w:tcPr>
          <w:p>
            <w:pPr>
              <w:spacing w:after="0" w:line="252" w:lineRule="auto"/>
              <w:jc w:val="left"/>
            </w:pPr>
            <w:r>
              <w:rPr>
                <w:rFonts w:ascii="Aptos" w:hAnsi="Aptos"/>
                <w:color w:val="172033"/>
                <w:sz w:val="17"/>
              </w:rPr>
              <w:t>AVG, ROUND, ORDER BY, LIMIT</w:t>
            </w:r>
          </w:p>
        </w:tc>
      </w:tr>
      <w:tr>
        <w:tc>
          <w:tcPr>
            <w:tcW w:type="dxa" w:w="648"/>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4</w:t>
            </w:r>
          </w:p>
        </w:tc>
        <w:tc>
          <w:tcPr>
            <w:tcW w:type="dxa" w:w="626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Comparison of selected shipping methods</w:t>
            </w:r>
          </w:p>
        </w:tc>
        <w:tc>
          <w:tcPr>
            <w:tcW w:type="dxa" w:w="302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IN filter and GROUP BY</w:t>
            </w:r>
          </w:p>
        </w:tc>
      </w:tr>
      <w:tr>
        <w:tc>
          <w:tcPr>
            <w:tcW w:type="dxa" w:w="648"/>
            <w:tcMar>
              <w:top w:w="75" w:type="dxa"/>
              <w:start w:w="110" w:type="dxa"/>
              <w:bottom w:w="75" w:type="dxa"/>
              <w:end w:w="110" w:type="dxa"/>
            </w:tcMar>
            <w:vAlign w:val="center"/>
          </w:tcPr>
          <w:p>
            <w:pPr>
              <w:spacing w:after="0" w:line="252" w:lineRule="auto"/>
              <w:jc w:val="center"/>
            </w:pPr>
            <w:r>
              <w:rPr>
                <w:rFonts w:ascii="Aptos" w:hAnsi="Aptos"/>
                <w:color w:val="172033"/>
                <w:sz w:val="17"/>
              </w:rPr>
              <w:t>5</w:t>
            </w:r>
          </w:p>
        </w:tc>
        <w:tc>
          <w:tcPr>
            <w:tcW w:type="dxa" w:w="6264"/>
            <w:tcMar>
              <w:top w:w="75" w:type="dxa"/>
              <w:start w:w="110" w:type="dxa"/>
              <w:bottom w:w="75" w:type="dxa"/>
              <w:end w:w="110" w:type="dxa"/>
            </w:tcMar>
            <w:vAlign w:val="center"/>
          </w:tcPr>
          <w:p>
            <w:pPr>
              <w:spacing w:after="0" w:line="252" w:lineRule="auto"/>
              <w:jc w:val="left"/>
            </w:pPr>
            <w:r>
              <w:rPr>
                <w:rFonts w:ascii="Aptos" w:hAnsi="Aptos"/>
                <w:color w:val="172033"/>
                <w:sz w:val="17"/>
              </w:rPr>
              <w:t>Subscriber versus non-subscriber spend and revenue</w:t>
            </w:r>
          </w:p>
        </w:tc>
        <w:tc>
          <w:tcPr>
            <w:tcW w:type="dxa" w:w="3024"/>
            <w:tcMar>
              <w:top w:w="75" w:type="dxa"/>
              <w:start w:w="110" w:type="dxa"/>
              <w:bottom w:w="75" w:type="dxa"/>
              <w:end w:w="110" w:type="dxa"/>
            </w:tcMar>
            <w:vAlign w:val="center"/>
          </w:tcPr>
          <w:p>
            <w:pPr>
              <w:spacing w:after="0" w:line="252" w:lineRule="auto"/>
              <w:jc w:val="center"/>
            </w:pPr>
            <w:r>
              <w:rPr>
                <w:rFonts w:ascii="Aptos" w:hAnsi="Aptos"/>
                <w:color w:val="172033"/>
                <w:sz w:val="17"/>
              </w:rPr>
              <w:t>COUNT, AVG, SUM</w:t>
            </w:r>
          </w:p>
        </w:tc>
      </w:tr>
      <w:tr>
        <w:tc>
          <w:tcPr>
            <w:tcW w:type="dxa" w:w="648"/>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6</w:t>
            </w:r>
          </w:p>
        </w:tc>
        <w:tc>
          <w:tcPr>
            <w:tcW w:type="dxa" w:w="626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Top items by discount usage rate</w:t>
            </w:r>
          </w:p>
        </w:tc>
        <w:tc>
          <w:tcPr>
            <w:tcW w:type="dxa" w:w="302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CASE expression and percentage calculation</w:t>
            </w:r>
          </w:p>
        </w:tc>
      </w:tr>
      <w:tr>
        <w:tc>
          <w:tcPr>
            <w:tcW w:type="dxa" w:w="648"/>
            <w:tcMar>
              <w:top w:w="75" w:type="dxa"/>
              <w:start w:w="110" w:type="dxa"/>
              <w:bottom w:w="75" w:type="dxa"/>
              <w:end w:w="110" w:type="dxa"/>
            </w:tcMar>
            <w:vAlign w:val="center"/>
          </w:tcPr>
          <w:p>
            <w:pPr>
              <w:spacing w:after="0" w:line="252" w:lineRule="auto"/>
              <w:jc w:val="center"/>
            </w:pPr>
            <w:r>
              <w:rPr>
                <w:rFonts w:ascii="Aptos" w:hAnsi="Aptos"/>
                <w:color w:val="172033"/>
                <w:sz w:val="17"/>
              </w:rPr>
              <w:t>7</w:t>
            </w:r>
          </w:p>
        </w:tc>
        <w:tc>
          <w:tcPr>
            <w:tcW w:type="dxa" w:w="6264"/>
            <w:tcMar>
              <w:top w:w="75" w:type="dxa"/>
              <w:start w:w="110" w:type="dxa"/>
              <w:bottom w:w="75" w:type="dxa"/>
              <w:end w:w="110" w:type="dxa"/>
            </w:tcMar>
            <w:vAlign w:val="center"/>
          </w:tcPr>
          <w:p>
            <w:pPr>
              <w:spacing w:after="0" w:line="252" w:lineRule="auto"/>
              <w:jc w:val="left"/>
            </w:pPr>
            <w:r>
              <w:rPr>
                <w:rFonts w:ascii="Aptos" w:hAnsi="Aptos"/>
                <w:color w:val="172033"/>
                <w:sz w:val="17"/>
              </w:rPr>
              <w:t>New, Returning, and Loyal customer segments</w:t>
            </w:r>
          </w:p>
        </w:tc>
        <w:tc>
          <w:tcPr>
            <w:tcW w:type="dxa" w:w="3024"/>
            <w:tcMar>
              <w:top w:w="75" w:type="dxa"/>
              <w:start w:w="110" w:type="dxa"/>
              <w:bottom w:w="75" w:type="dxa"/>
              <w:end w:w="110" w:type="dxa"/>
            </w:tcMar>
            <w:vAlign w:val="center"/>
          </w:tcPr>
          <w:p>
            <w:pPr>
              <w:spacing w:after="0" w:line="252" w:lineRule="auto"/>
              <w:jc w:val="center"/>
            </w:pPr>
            <w:r>
              <w:rPr>
                <w:rFonts w:ascii="Aptos" w:hAnsi="Aptos"/>
                <w:color w:val="172033"/>
                <w:sz w:val="17"/>
              </w:rPr>
              <w:t>CASE expression</w:t>
            </w:r>
          </w:p>
        </w:tc>
      </w:tr>
      <w:tr>
        <w:tc>
          <w:tcPr>
            <w:tcW w:type="dxa" w:w="648"/>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8</w:t>
            </w:r>
          </w:p>
        </w:tc>
        <w:tc>
          <w:tcPr>
            <w:tcW w:type="dxa" w:w="626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Top three products inside each category</w:t>
            </w:r>
          </w:p>
        </w:tc>
        <w:tc>
          <w:tcPr>
            <w:tcW w:type="dxa" w:w="302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CTE and ROW_NUMBER window function</w:t>
            </w:r>
          </w:p>
        </w:tc>
      </w:tr>
      <w:tr>
        <w:tc>
          <w:tcPr>
            <w:tcW w:type="dxa" w:w="648"/>
            <w:tcMar>
              <w:top w:w="75" w:type="dxa"/>
              <w:start w:w="110" w:type="dxa"/>
              <w:bottom w:w="75" w:type="dxa"/>
              <w:end w:w="110" w:type="dxa"/>
            </w:tcMar>
            <w:vAlign w:val="center"/>
          </w:tcPr>
          <w:p>
            <w:pPr>
              <w:spacing w:after="0" w:line="252" w:lineRule="auto"/>
              <w:jc w:val="center"/>
            </w:pPr>
            <w:r>
              <w:rPr>
                <w:rFonts w:ascii="Aptos" w:hAnsi="Aptos"/>
                <w:color w:val="172033"/>
                <w:sz w:val="17"/>
              </w:rPr>
              <w:t>9</w:t>
            </w:r>
          </w:p>
        </w:tc>
        <w:tc>
          <w:tcPr>
            <w:tcW w:type="dxa" w:w="6264"/>
            <w:tcMar>
              <w:top w:w="75" w:type="dxa"/>
              <w:start w:w="110" w:type="dxa"/>
              <w:bottom w:w="75" w:type="dxa"/>
              <w:end w:w="110" w:type="dxa"/>
            </w:tcMar>
            <w:vAlign w:val="center"/>
          </w:tcPr>
          <w:p>
            <w:pPr>
              <w:spacing w:after="0" w:line="252" w:lineRule="auto"/>
              <w:jc w:val="left"/>
            </w:pPr>
            <w:r>
              <w:rPr>
                <w:rFonts w:ascii="Aptos" w:hAnsi="Aptos"/>
                <w:color w:val="172033"/>
                <w:sz w:val="17"/>
              </w:rPr>
              <w:t>Repeat buyers by subscription status</w:t>
            </w:r>
          </w:p>
        </w:tc>
        <w:tc>
          <w:tcPr>
            <w:tcW w:type="dxa" w:w="3024"/>
            <w:tcMar>
              <w:top w:w="75" w:type="dxa"/>
              <w:start w:w="110" w:type="dxa"/>
              <w:bottom w:w="75" w:type="dxa"/>
              <w:end w:w="110" w:type="dxa"/>
            </w:tcMar>
            <w:vAlign w:val="center"/>
          </w:tcPr>
          <w:p>
            <w:pPr>
              <w:spacing w:after="0" w:line="252" w:lineRule="auto"/>
              <w:jc w:val="left"/>
            </w:pPr>
            <w:r>
              <w:rPr>
                <w:rFonts w:ascii="Aptos" w:hAnsi="Aptos"/>
                <w:color w:val="172033"/>
                <w:sz w:val="17"/>
              </w:rPr>
              <w:t>Conditional filter and aggregation</w:t>
            </w:r>
          </w:p>
        </w:tc>
      </w:tr>
      <w:tr>
        <w:tc>
          <w:tcPr>
            <w:tcW w:type="dxa" w:w="648"/>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10</w:t>
            </w:r>
          </w:p>
        </w:tc>
        <w:tc>
          <w:tcPr>
            <w:tcW w:type="dxa" w:w="626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Revenue contribution by age group</w:t>
            </w:r>
          </w:p>
        </w:tc>
        <w:tc>
          <w:tcPr>
            <w:tcW w:type="dxa" w:w="302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SUM, GROUP BY, descending rank</w:t>
            </w:r>
          </w:p>
        </w:tc>
      </w:tr>
    </w:tbl>
    <w:p>
      <w:pPr>
        <w:pStyle w:val="Heading2"/>
        <w:keepNext/>
      </w:pPr>
      <w:r>
        <w:t>Representative Advanced Query</w:t>
      </w:r>
    </w:p>
    <w:p>
      <w:pPr>
        <w:spacing w:after="140"/>
        <w:ind w:left="360"/>
      </w:pPr>
      <w:r>
        <w:rPr>
          <w:rFonts w:ascii="Consolas" w:hAnsi="Consolas"/>
          <w:color w:val="172033"/>
          <w:sz w:val="17"/>
        </w:rPr>
        <w:t>WITH item_counts AS (</w:t>
        <w:br/>
        <w:t xml:space="preserve">    SELECT category, item_purchased,</w:t>
        <w:br/>
        <w:t xml:space="preserve">           COUNT(customer_id) AS total_orders,</w:t>
        <w:br/>
        <w:t xml:space="preserve">           ROW_NUMBER() OVER (PARTITION BY category</w:t>
        <w:br/>
        <w:t xml:space="preserve">             ORDER BY COUNT(customer_id) DESC) AS item_rank</w:t>
        <w:br/>
        <w:t xml:space="preserve">    FROM customer</w:t>
        <w:br/>
        <w:t xml:space="preserve">    GROUP BY category, item_purchased</w:t>
        <w:br/>
        <w:t>)</w:t>
        <w:br/>
        <w:t>SELECT item_rank, category, item_purchased, total_orders</w:t>
        <w:br/>
        <w:t>FROM item_counts WHERE item_rank &lt;= 3;</w:t>
      </w:r>
    </w:p>
    <w:p>
      <w:pPr>
        <w:pStyle w:val="Heading1"/>
        <w:keepNext/>
      </w:pPr>
      <w:r>
        <w:t>5 Power BI Dashboard Development</w:t>
      </w:r>
    </w:p>
    <w:p>
      <w:pPr>
        <w:spacing w:after="100" w:line="259" w:lineRule="auto"/>
      </w:pPr>
      <w:r>
        <w:t>The final dashboard brings the main indicators and comparisons into one interactive view. The design uses a compact KPI band, category and age-group comparisons, a subscription donut chart, and a left-side filter panel. Users can filter the complete report by subscription status, gender, category, and shipping type.</w:t>
      </w:r>
    </w:p>
    <w:p>
      <w:pPr>
        <w:keepNext/>
        <w:jc w:val="center"/>
      </w:pPr>
      <w:r>
        <w:drawing>
          <wp:inline xmlns:a="http://schemas.openxmlformats.org/drawingml/2006/main" xmlns:pic="http://schemas.openxmlformats.org/drawingml/2006/picture">
            <wp:extent cx="5897880" cy="3066898"/>
            <wp:docPr id="3" name="Picture 3"/>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897880" cy="3066898"/>
                    </a:xfrm>
                    <a:prstGeom prst="rect"/>
                  </pic:spPr>
                </pic:pic>
              </a:graphicData>
            </a:graphic>
          </wp:inline>
        </w:drawing>
      </w:r>
    </w:p>
    <w:p>
      <w:pPr>
        <w:spacing w:after="180"/>
        <w:jc w:val="center"/>
      </w:pPr>
      <w:r>
        <w:rPr>
          <w:rFonts w:ascii="Aptos" w:hAnsi="Aptos"/>
          <w:i/>
          <w:color w:val="64748B"/>
          <w:sz w:val="18"/>
        </w:rPr>
        <w:t>Customer Behavior Dashboard with KPI cards, charts, and interactive slicers</w:t>
      </w:r>
    </w:p>
    <w:p>
      <w:pPr>
        <w:pStyle w:val="Heading2"/>
        <w:keepNext/>
      </w:pPr>
      <w:r>
        <w:t>Dashboard Components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800"/>
            <w:shd w:fill="0F172A"/>
            <w:vAlign w:val="center"/>
            <w:tcMar>
              <w:top w:w="120" w:type="dxa"/>
              <w:start w:w="120" w:type="dxa"/>
              <w:bottom w:w="120" w:type="dxa"/>
              <w:end w:w="120" w:type="dxa"/>
            </w:tcMar>
          </w:tcPr>
          <w:p>
            <w:pPr>
              <w:spacing w:after="0"/>
              <w:jc w:val="center"/>
            </w:pPr>
            <w:r>
              <w:rPr>
                <w:rFonts w:ascii="Aptos" w:hAnsi="Aptos"/>
                <w:b/>
                <w:color w:val="FFFFFF"/>
                <w:sz w:val="19"/>
              </w:rPr>
              <w:t>Component</w:t>
            </w:r>
          </w:p>
        </w:tc>
        <w:tc>
          <w:tcPr>
            <w:tcW w:type="dxa" w:w="3744"/>
            <w:shd w:fill="0F172A"/>
            <w:vAlign w:val="center"/>
            <w:tcMar>
              <w:top w:w="120" w:type="dxa"/>
              <w:start w:w="120" w:type="dxa"/>
              <w:bottom w:w="120" w:type="dxa"/>
              <w:end w:w="120" w:type="dxa"/>
            </w:tcMar>
          </w:tcPr>
          <w:p>
            <w:pPr>
              <w:spacing w:after="0"/>
              <w:jc w:val="center"/>
            </w:pPr>
            <w:r>
              <w:rPr>
                <w:rFonts w:ascii="Aptos" w:hAnsi="Aptos"/>
                <w:b/>
                <w:color w:val="FFFFFF"/>
                <w:sz w:val="19"/>
              </w:rPr>
              <w:t>Metric or Dimension</w:t>
            </w:r>
          </w:p>
        </w:tc>
        <w:tc>
          <w:tcPr>
            <w:tcW w:type="dxa" w:w="4392"/>
            <w:shd w:fill="0F172A"/>
            <w:vAlign w:val="center"/>
            <w:tcMar>
              <w:top w:w="120" w:type="dxa"/>
              <w:start w:w="120" w:type="dxa"/>
              <w:bottom w:w="120" w:type="dxa"/>
              <w:end w:w="120" w:type="dxa"/>
            </w:tcMar>
          </w:tcPr>
          <w:p>
            <w:pPr>
              <w:spacing w:after="0"/>
              <w:jc w:val="center"/>
            </w:pPr>
            <w:r>
              <w:rPr>
                <w:rFonts w:ascii="Aptos" w:hAnsi="Aptos"/>
                <w:b/>
                <w:color w:val="FFFFFF"/>
                <w:sz w:val="19"/>
              </w:rPr>
              <w:t>Purpose</w:t>
            </w:r>
          </w:p>
        </w:tc>
      </w:tr>
      <w:tr>
        <w:tc>
          <w:tcPr>
            <w:tcW w:type="dxa" w:w="1800"/>
            <w:tcMar>
              <w:top w:w="75" w:type="dxa"/>
              <w:start w:w="110" w:type="dxa"/>
              <w:bottom w:w="75" w:type="dxa"/>
              <w:end w:w="110" w:type="dxa"/>
            </w:tcMar>
            <w:vAlign w:val="center"/>
          </w:tcPr>
          <w:p>
            <w:pPr>
              <w:spacing w:after="0" w:line="252" w:lineRule="auto"/>
              <w:jc w:val="center"/>
            </w:pPr>
            <w:r>
              <w:rPr>
                <w:rFonts w:ascii="Aptos" w:hAnsi="Aptos"/>
                <w:color w:val="172033"/>
                <w:sz w:val="17"/>
              </w:rPr>
              <w:t>KPI cards</w:t>
            </w:r>
          </w:p>
        </w:tc>
        <w:tc>
          <w:tcPr>
            <w:tcW w:type="dxa" w:w="3744"/>
            <w:tcMar>
              <w:top w:w="75" w:type="dxa"/>
              <w:start w:w="110" w:type="dxa"/>
              <w:bottom w:w="75" w:type="dxa"/>
              <w:end w:w="110" w:type="dxa"/>
            </w:tcMar>
            <w:vAlign w:val="center"/>
          </w:tcPr>
          <w:p>
            <w:pPr>
              <w:spacing w:after="0" w:line="252" w:lineRule="auto"/>
              <w:jc w:val="left"/>
            </w:pPr>
            <w:r>
              <w:rPr>
                <w:rFonts w:ascii="Aptos" w:hAnsi="Aptos"/>
                <w:color w:val="172033"/>
                <w:sz w:val="17"/>
              </w:rPr>
              <w:t>Customers, average purchase, average rating</w:t>
            </w:r>
          </w:p>
        </w:tc>
        <w:tc>
          <w:tcPr>
            <w:tcW w:type="dxa" w:w="4392"/>
            <w:tcMar>
              <w:top w:w="75" w:type="dxa"/>
              <w:start w:w="110" w:type="dxa"/>
              <w:bottom w:w="75" w:type="dxa"/>
              <w:end w:w="110" w:type="dxa"/>
            </w:tcMar>
            <w:vAlign w:val="center"/>
          </w:tcPr>
          <w:p>
            <w:pPr>
              <w:spacing w:after="0" w:line="252" w:lineRule="auto"/>
              <w:jc w:val="left"/>
            </w:pPr>
            <w:r>
              <w:rPr>
                <w:rFonts w:ascii="Aptos" w:hAnsi="Aptos"/>
                <w:color w:val="172033"/>
                <w:sz w:val="17"/>
              </w:rPr>
              <w:t>Immediate summary of scale, value, and satisfaction</w:t>
            </w:r>
          </w:p>
        </w:tc>
      </w:tr>
      <w:tr>
        <w:tc>
          <w:tcPr>
            <w:tcW w:type="dxa" w:w="1800"/>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Donut chart</w:t>
            </w:r>
          </w:p>
        </w:tc>
        <w:tc>
          <w:tcPr>
            <w:tcW w:type="dxa" w:w="374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Subscription status</w:t>
            </w:r>
          </w:p>
        </w:tc>
        <w:tc>
          <w:tcPr>
            <w:tcW w:type="dxa" w:w="4392"/>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Shows subscriber penetration</w:t>
            </w:r>
          </w:p>
        </w:tc>
      </w:tr>
      <w:tr>
        <w:tc>
          <w:tcPr>
            <w:tcW w:type="dxa" w:w="1800"/>
            <w:tcMar>
              <w:top w:w="75" w:type="dxa"/>
              <w:start w:w="110" w:type="dxa"/>
              <w:bottom w:w="75" w:type="dxa"/>
              <w:end w:w="110" w:type="dxa"/>
            </w:tcMar>
            <w:vAlign w:val="center"/>
          </w:tcPr>
          <w:p>
            <w:pPr>
              <w:spacing w:after="0" w:line="252" w:lineRule="auto"/>
              <w:jc w:val="center"/>
            </w:pPr>
            <w:r>
              <w:rPr>
                <w:rFonts w:ascii="Aptos" w:hAnsi="Aptos"/>
                <w:color w:val="172033"/>
                <w:sz w:val="17"/>
              </w:rPr>
              <w:t>Column charts</w:t>
            </w:r>
          </w:p>
        </w:tc>
        <w:tc>
          <w:tcPr>
            <w:tcW w:type="dxa" w:w="3744"/>
            <w:tcMar>
              <w:top w:w="75" w:type="dxa"/>
              <w:start w:w="110" w:type="dxa"/>
              <w:bottom w:w="75" w:type="dxa"/>
              <w:end w:w="110" w:type="dxa"/>
            </w:tcMar>
            <w:vAlign w:val="center"/>
          </w:tcPr>
          <w:p>
            <w:pPr>
              <w:spacing w:after="0" w:line="252" w:lineRule="auto"/>
              <w:jc w:val="left"/>
            </w:pPr>
            <w:r>
              <w:rPr>
                <w:rFonts w:ascii="Aptos" w:hAnsi="Aptos"/>
                <w:color w:val="172033"/>
                <w:sz w:val="17"/>
              </w:rPr>
              <w:t>Revenue and sales by category</w:t>
            </w:r>
          </w:p>
        </w:tc>
        <w:tc>
          <w:tcPr>
            <w:tcW w:type="dxa" w:w="4392"/>
            <w:tcMar>
              <w:top w:w="75" w:type="dxa"/>
              <w:start w:w="110" w:type="dxa"/>
              <w:bottom w:w="75" w:type="dxa"/>
              <w:end w:w="110" w:type="dxa"/>
            </w:tcMar>
            <w:vAlign w:val="center"/>
          </w:tcPr>
          <w:p>
            <w:pPr>
              <w:spacing w:after="0" w:line="252" w:lineRule="auto"/>
              <w:jc w:val="left"/>
            </w:pPr>
            <w:r>
              <w:rPr>
                <w:rFonts w:ascii="Aptos" w:hAnsi="Aptos"/>
                <w:color w:val="172033"/>
                <w:sz w:val="17"/>
              </w:rPr>
              <w:t>Compares commercial performance across categories</w:t>
            </w:r>
          </w:p>
        </w:tc>
      </w:tr>
      <w:tr>
        <w:tc>
          <w:tcPr>
            <w:tcW w:type="dxa" w:w="1800"/>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Bar charts</w:t>
            </w:r>
          </w:p>
        </w:tc>
        <w:tc>
          <w:tcPr>
            <w:tcW w:type="dxa" w:w="374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Revenue and sales by age group</w:t>
            </w:r>
          </w:p>
        </w:tc>
        <w:tc>
          <w:tcPr>
            <w:tcW w:type="dxa" w:w="4392"/>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Highlights demographic contribution</w:t>
            </w:r>
          </w:p>
        </w:tc>
      </w:tr>
      <w:tr>
        <w:tc>
          <w:tcPr>
            <w:tcW w:type="dxa" w:w="1800"/>
            <w:tcMar>
              <w:top w:w="75" w:type="dxa"/>
              <w:start w:w="110" w:type="dxa"/>
              <w:bottom w:w="75" w:type="dxa"/>
              <w:end w:w="110" w:type="dxa"/>
            </w:tcMar>
            <w:vAlign w:val="center"/>
          </w:tcPr>
          <w:p>
            <w:pPr>
              <w:spacing w:after="0" w:line="252" w:lineRule="auto"/>
              <w:jc w:val="center"/>
            </w:pPr>
            <w:r>
              <w:rPr>
                <w:rFonts w:ascii="Aptos" w:hAnsi="Aptos"/>
                <w:color w:val="172033"/>
                <w:sz w:val="17"/>
              </w:rPr>
              <w:t>Slicers</w:t>
            </w:r>
          </w:p>
        </w:tc>
        <w:tc>
          <w:tcPr>
            <w:tcW w:type="dxa" w:w="3744"/>
            <w:tcMar>
              <w:top w:w="75" w:type="dxa"/>
              <w:start w:w="110" w:type="dxa"/>
              <w:bottom w:w="75" w:type="dxa"/>
              <w:end w:w="110" w:type="dxa"/>
            </w:tcMar>
            <w:vAlign w:val="center"/>
          </w:tcPr>
          <w:p>
            <w:pPr>
              <w:spacing w:after="0" w:line="252" w:lineRule="auto"/>
              <w:jc w:val="left"/>
            </w:pPr>
            <w:r>
              <w:rPr>
                <w:rFonts w:ascii="Aptos" w:hAnsi="Aptos"/>
                <w:color w:val="172033"/>
                <w:sz w:val="17"/>
              </w:rPr>
              <w:t>Subscription, gender, category, shipping</w:t>
            </w:r>
          </w:p>
        </w:tc>
        <w:tc>
          <w:tcPr>
            <w:tcW w:type="dxa" w:w="4392"/>
            <w:tcMar>
              <w:top w:w="75" w:type="dxa"/>
              <w:start w:w="110" w:type="dxa"/>
              <w:bottom w:w="75" w:type="dxa"/>
              <w:end w:w="110" w:type="dxa"/>
            </w:tcMar>
            <w:vAlign w:val="center"/>
          </w:tcPr>
          <w:p>
            <w:pPr>
              <w:spacing w:after="0" w:line="252" w:lineRule="auto"/>
              <w:jc w:val="left"/>
            </w:pPr>
            <w:r>
              <w:rPr>
                <w:rFonts w:ascii="Aptos" w:hAnsi="Aptos"/>
                <w:color w:val="172033"/>
                <w:sz w:val="17"/>
              </w:rPr>
              <w:t>Supports interactive exploration</w:t>
            </w:r>
          </w:p>
        </w:tc>
      </w:tr>
    </w:tbl>
    <w:p>
      <w:pPr>
        <w:pStyle w:val="Heading1"/>
        <w:keepNext/>
      </w:pPr>
      <w:r>
        <w:t>6 Key Findings</w:t>
      </w:r>
    </w:p>
    <w:p>
      <w:pPr>
        <w:pStyle w:val="Heading2"/>
        <w:keepNext/>
      </w:pPr>
      <w:r>
        <w:t>Category Performance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33"/>
        <w:gridCol w:w="2033"/>
        <w:gridCol w:w="2033"/>
        <w:gridCol w:w="2033"/>
        <w:gridCol w:w="2033"/>
      </w:tblGrid>
      <w:tr>
        <w:trPr>
          <w:tblHeader w:val="true"/>
        </w:trPr>
        <w:tc>
          <w:tcPr>
            <w:tcW w:type="dxa" w:w="1512"/>
            <w:shd w:fill="0F172A"/>
            <w:vAlign w:val="center"/>
            <w:tcMar>
              <w:top w:w="120" w:type="dxa"/>
              <w:start w:w="120" w:type="dxa"/>
              <w:bottom w:w="120" w:type="dxa"/>
              <w:end w:w="120" w:type="dxa"/>
            </w:tcMar>
          </w:tcPr>
          <w:p>
            <w:pPr>
              <w:spacing w:after="0"/>
              <w:jc w:val="center"/>
            </w:pPr>
            <w:r>
              <w:rPr>
                <w:rFonts w:ascii="Aptos" w:hAnsi="Aptos"/>
                <w:b/>
                <w:color w:val="FFFFFF"/>
                <w:sz w:val="19"/>
              </w:rPr>
              <w:t>Category</w:t>
            </w:r>
          </w:p>
        </w:tc>
        <w:tc>
          <w:tcPr>
            <w:tcW w:type="dxa" w:w="1512"/>
            <w:shd w:fill="0F172A"/>
            <w:vAlign w:val="center"/>
            <w:tcMar>
              <w:top w:w="120" w:type="dxa"/>
              <w:start w:w="120" w:type="dxa"/>
              <w:bottom w:w="120" w:type="dxa"/>
              <w:end w:w="120" w:type="dxa"/>
            </w:tcMar>
          </w:tcPr>
          <w:p>
            <w:pPr>
              <w:spacing w:after="0"/>
              <w:jc w:val="center"/>
            </w:pPr>
            <w:r>
              <w:rPr>
                <w:rFonts w:ascii="Aptos" w:hAnsi="Aptos"/>
                <w:b/>
                <w:color w:val="FFFFFF"/>
                <w:sz w:val="19"/>
              </w:rPr>
              <w:t>Revenue</w:t>
            </w:r>
          </w:p>
        </w:tc>
        <w:tc>
          <w:tcPr>
            <w:tcW w:type="dxa" w:w="1440"/>
            <w:shd w:fill="0F172A"/>
            <w:vAlign w:val="center"/>
            <w:tcMar>
              <w:top w:w="120" w:type="dxa"/>
              <w:start w:w="120" w:type="dxa"/>
              <w:bottom w:w="120" w:type="dxa"/>
              <w:end w:w="120" w:type="dxa"/>
            </w:tcMar>
          </w:tcPr>
          <w:p>
            <w:pPr>
              <w:spacing w:after="0"/>
              <w:jc w:val="center"/>
            </w:pPr>
            <w:r>
              <w:rPr>
                <w:rFonts w:ascii="Aptos" w:hAnsi="Aptos"/>
                <w:b/>
                <w:color w:val="FFFFFF"/>
                <w:sz w:val="19"/>
              </w:rPr>
              <w:t>Revenue Share</w:t>
            </w:r>
          </w:p>
        </w:tc>
        <w:tc>
          <w:tcPr>
            <w:tcW w:type="dxa" w:w="1080"/>
            <w:shd w:fill="0F172A"/>
            <w:vAlign w:val="center"/>
            <w:tcMar>
              <w:top w:w="120" w:type="dxa"/>
              <w:start w:w="120" w:type="dxa"/>
              <w:bottom w:w="120" w:type="dxa"/>
              <w:end w:w="120" w:type="dxa"/>
            </w:tcMar>
          </w:tcPr>
          <w:p>
            <w:pPr>
              <w:spacing w:after="0"/>
              <w:jc w:val="center"/>
            </w:pPr>
            <w:r>
              <w:rPr>
                <w:rFonts w:ascii="Aptos" w:hAnsi="Aptos"/>
                <w:b/>
                <w:color w:val="FFFFFF"/>
                <w:sz w:val="19"/>
              </w:rPr>
              <w:t>Sales</w:t>
            </w:r>
          </w:p>
        </w:tc>
        <w:tc>
          <w:tcPr>
            <w:tcW w:type="dxa" w:w="4392"/>
            <w:shd w:fill="0F172A"/>
            <w:vAlign w:val="center"/>
            <w:tcMar>
              <w:top w:w="120" w:type="dxa"/>
              <w:start w:w="120" w:type="dxa"/>
              <w:bottom w:w="120" w:type="dxa"/>
              <w:end w:w="120" w:type="dxa"/>
            </w:tcMar>
          </w:tcPr>
          <w:p>
            <w:pPr>
              <w:spacing w:after="0"/>
              <w:jc w:val="center"/>
            </w:pPr>
            <w:r>
              <w:rPr>
                <w:rFonts w:ascii="Aptos" w:hAnsi="Aptos"/>
                <w:b/>
                <w:color w:val="FFFFFF"/>
                <w:sz w:val="19"/>
              </w:rPr>
              <w:t>Interpretation</w:t>
            </w:r>
          </w:p>
        </w:tc>
      </w:tr>
      <w:tr>
        <w:tc>
          <w:tcPr>
            <w:tcW w:type="dxa" w:w="1512"/>
            <w:tcMar>
              <w:top w:w="75" w:type="dxa"/>
              <w:start w:w="110" w:type="dxa"/>
              <w:bottom w:w="75" w:type="dxa"/>
              <w:end w:w="110" w:type="dxa"/>
            </w:tcMar>
            <w:vAlign w:val="center"/>
          </w:tcPr>
          <w:p>
            <w:pPr>
              <w:spacing w:after="0" w:line="252" w:lineRule="auto"/>
              <w:jc w:val="center"/>
            </w:pPr>
            <w:r>
              <w:rPr>
                <w:rFonts w:ascii="Aptos" w:hAnsi="Aptos"/>
                <w:color w:val="172033"/>
                <w:sz w:val="17"/>
              </w:rPr>
              <w:t>Clothing</w:t>
            </w:r>
          </w:p>
        </w:tc>
        <w:tc>
          <w:tcPr>
            <w:tcW w:type="dxa" w:w="1512"/>
            <w:tcMar>
              <w:top w:w="75" w:type="dxa"/>
              <w:start w:w="110" w:type="dxa"/>
              <w:bottom w:w="75" w:type="dxa"/>
              <w:end w:w="110" w:type="dxa"/>
            </w:tcMar>
            <w:vAlign w:val="center"/>
          </w:tcPr>
          <w:p>
            <w:pPr>
              <w:spacing w:after="0" w:line="252" w:lineRule="auto"/>
              <w:jc w:val="center"/>
            </w:pPr>
            <w:r>
              <w:rPr>
                <w:rFonts w:ascii="Aptos" w:hAnsi="Aptos"/>
                <w:color w:val="172033"/>
                <w:sz w:val="17"/>
              </w:rPr>
              <w:t>$104,264</w:t>
            </w:r>
          </w:p>
        </w:tc>
        <w:tc>
          <w:tcPr>
            <w:tcW w:type="dxa" w:w="1440"/>
            <w:tcMar>
              <w:top w:w="75" w:type="dxa"/>
              <w:start w:w="110" w:type="dxa"/>
              <w:bottom w:w="75" w:type="dxa"/>
              <w:end w:w="110" w:type="dxa"/>
            </w:tcMar>
            <w:vAlign w:val="center"/>
          </w:tcPr>
          <w:p>
            <w:pPr>
              <w:spacing w:after="0" w:line="252" w:lineRule="auto"/>
              <w:jc w:val="center"/>
            </w:pPr>
            <w:r>
              <w:rPr>
                <w:rFonts w:ascii="Aptos" w:hAnsi="Aptos"/>
                <w:color w:val="172033"/>
                <w:sz w:val="17"/>
              </w:rPr>
              <w:t>44.73%</w:t>
            </w:r>
          </w:p>
        </w:tc>
        <w:tc>
          <w:tcPr>
            <w:tcW w:type="dxa" w:w="1080"/>
            <w:tcMar>
              <w:top w:w="75" w:type="dxa"/>
              <w:start w:w="110" w:type="dxa"/>
              <w:bottom w:w="75" w:type="dxa"/>
              <w:end w:w="110" w:type="dxa"/>
            </w:tcMar>
            <w:vAlign w:val="center"/>
          </w:tcPr>
          <w:p>
            <w:pPr>
              <w:spacing w:after="0" w:line="252" w:lineRule="auto"/>
              <w:jc w:val="center"/>
            </w:pPr>
            <w:r>
              <w:rPr>
                <w:rFonts w:ascii="Aptos" w:hAnsi="Aptos"/>
                <w:color w:val="172033"/>
                <w:sz w:val="17"/>
              </w:rPr>
              <w:t>1,737</w:t>
            </w:r>
          </w:p>
        </w:tc>
        <w:tc>
          <w:tcPr>
            <w:tcW w:type="dxa" w:w="4392"/>
            <w:tcMar>
              <w:top w:w="75" w:type="dxa"/>
              <w:start w:w="110" w:type="dxa"/>
              <w:bottom w:w="75" w:type="dxa"/>
              <w:end w:w="110" w:type="dxa"/>
            </w:tcMar>
            <w:vAlign w:val="center"/>
          </w:tcPr>
          <w:p>
            <w:pPr>
              <w:spacing w:after="0" w:line="252" w:lineRule="auto"/>
              <w:jc w:val="left"/>
            </w:pPr>
            <w:r>
              <w:rPr>
                <w:rFonts w:ascii="Aptos" w:hAnsi="Aptos"/>
                <w:color w:val="172033"/>
                <w:sz w:val="17"/>
              </w:rPr>
              <w:t>Largest category by revenue and volume</w:t>
            </w:r>
          </w:p>
        </w:tc>
      </w:tr>
      <w:tr>
        <w:tc>
          <w:tcPr>
            <w:tcW w:type="dxa" w:w="1512"/>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Accessories</w:t>
            </w:r>
          </w:p>
        </w:tc>
        <w:tc>
          <w:tcPr>
            <w:tcW w:type="dxa" w:w="1512"/>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$74,200</w:t>
            </w:r>
          </w:p>
        </w:tc>
        <w:tc>
          <w:tcPr>
            <w:tcW w:type="dxa" w:w="1440"/>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31.83%</w:t>
            </w:r>
          </w:p>
        </w:tc>
        <w:tc>
          <w:tcPr>
            <w:tcW w:type="dxa" w:w="1080"/>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1,240</w:t>
            </w:r>
          </w:p>
        </w:tc>
        <w:tc>
          <w:tcPr>
            <w:tcW w:type="dxa" w:w="4392"/>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Strong second category and cross-sell opportunity</w:t>
            </w:r>
          </w:p>
        </w:tc>
      </w:tr>
      <w:tr>
        <w:tc>
          <w:tcPr>
            <w:tcW w:type="dxa" w:w="1512"/>
            <w:tcMar>
              <w:top w:w="75" w:type="dxa"/>
              <w:start w:w="110" w:type="dxa"/>
              <w:bottom w:w="75" w:type="dxa"/>
              <w:end w:w="110" w:type="dxa"/>
            </w:tcMar>
            <w:vAlign w:val="center"/>
          </w:tcPr>
          <w:p>
            <w:pPr>
              <w:spacing w:after="0" w:line="252" w:lineRule="auto"/>
              <w:jc w:val="center"/>
            </w:pPr>
            <w:r>
              <w:rPr>
                <w:rFonts w:ascii="Aptos" w:hAnsi="Aptos"/>
                <w:color w:val="172033"/>
                <w:sz w:val="17"/>
              </w:rPr>
              <w:t>Footwear</w:t>
            </w:r>
          </w:p>
        </w:tc>
        <w:tc>
          <w:tcPr>
            <w:tcW w:type="dxa" w:w="1512"/>
            <w:tcMar>
              <w:top w:w="75" w:type="dxa"/>
              <w:start w:w="110" w:type="dxa"/>
              <w:bottom w:w="75" w:type="dxa"/>
              <w:end w:w="110" w:type="dxa"/>
            </w:tcMar>
            <w:vAlign w:val="center"/>
          </w:tcPr>
          <w:p>
            <w:pPr>
              <w:spacing w:after="0" w:line="252" w:lineRule="auto"/>
              <w:jc w:val="center"/>
            </w:pPr>
            <w:r>
              <w:rPr>
                <w:rFonts w:ascii="Aptos" w:hAnsi="Aptos"/>
                <w:color w:val="172033"/>
                <w:sz w:val="17"/>
              </w:rPr>
              <w:t>$36,093</w:t>
            </w:r>
          </w:p>
        </w:tc>
        <w:tc>
          <w:tcPr>
            <w:tcW w:type="dxa" w:w="1440"/>
            <w:tcMar>
              <w:top w:w="75" w:type="dxa"/>
              <w:start w:w="110" w:type="dxa"/>
              <w:bottom w:w="75" w:type="dxa"/>
              <w:end w:w="110" w:type="dxa"/>
            </w:tcMar>
            <w:vAlign w:val="center"/>
          </w:tcPr>
          <w:p>
            <w:pPr>
              <w:spacing w:after="0" w:line="252" w:lineRule="auto"/>
              <w:jc w:val="center"/>
            </w:pPr>
            <w:r>
              <w:rPr>
                <w:rFonts w:ascii="Aptos" w:hAnsi="Aptos"/>
                <w:color w:val="172033"/>
                <w:sz w:val="17"/>
              </w:rPr>
              <w:t>15.49%</w:t>
            </w:r>
          </w:p>
        </w:tc>
        <w:tc>
          <w:tcPr>
            <w:tcW w:type="dxa" w:w="1080"/>
            <w:tcMar>
              <w:top w:w="75" w:type="dxa"/>
              <w:start w:w="110" w:type="dxa"/>
              <w:bottom w:w="75" w:type="dxa"/>
              <w:end w:w="110" w:type="dxa"/>
            </w:tcMar>
            <w:vAlign w:val="center"/>
          </w:tcPr>
          <w:p>
            <w:pPr>
              <w:spacing w:after="0" w:line="252" w:lineRule="auto"/>
              <w:jc w:val="center"/>
            </w:pPr>
            <w:r>
              <w:rPr>
                <w:rFonts w:ascii="Aptos" w:hAnsi="Aptos"/>
                <w:color w:val="172033"/>
                <w:sz w:val="17"/>
              </w:rPr>
              <w:t>599</w:t>
            </w:r>
          </w:p>
        </w:tc>
        <w:tc>
          <w:tcPr>
            <w:tcW w:type="dxa" w:w="4392"/>
            <w:tcMar>
              <w:top w:w="75" w:type="dxa"/>
              <w:start w:w="110" w:type="dxa"/>
              <w:bottom w:w="75" w:type="dxa"/>
              <w:end w:w="110" w:type="dxa"/>
            </w:tcMar>
            <w:vAlign w:val="center"/>
          </w:tcPr>
          <w:p>
            <w:pPr>
              <w:spacing w:after="0" w:line="252" w:lineRule="auto"/>
              <w:jc w:val="left"/>
            </w:pPr>
            <w:r>
              <w:rPr>
                <w:rFonts w:ascii="Aptos" w:hAnsi="Aptos"/>
                <w:color w:val="172033"/>
                <w:sz w:val="17"/>
              </w:rPr>
              <w:t>Mid-sized contribution</w:t>
            </w:r>
          </w:p>
        </w:tc>
      </w:tr>
      <w:tr>
        <w:tc>
          <w:tcPr>
            <w:tcW w:type="dxa" w:w="1512"/>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Outerwear</w:t>
            </w:r>
          </w:p>
        </w:tc>
        <w:tc>
          <w:tcPr>
            <w:tcW w:type="dxa" w:w="1512"/>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$18,524</w:t>
            </w:r>
          </w:p>
        </w:tc>
        <w:tc>
          <w:tcPr>
            <w:tcW w:type="dxa" w:w="1440"/>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7.95%</w:t>
            </w:r>
          </w:p>
        </w:tc>
        <w:tc>
          <w:tcPr>
            <w:tcW w:type="dxa" w:w="1080"/>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324</w:t>
            </w:r>
          </w:p>
        </w:tc>
        <w:tc>
          <w:tcPr>
            <w:tcW w:type="dxa" w:w="4392"/>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Smallest category in the current mix</w:t>
            </w:r>
          </w:p>
        </w:tc>
      </w:tr>
    </w:tbl>
    <w:p>
      <w:pPr>
        <w:pStyle w:val="Heading2"/>
        <w:keepNext/>
      </w:pPr>
      <w:r>
        <w:t>Age Group Revenue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3384"/>
            <w:shd w:fill="0F172A"/>
            <w:vAlign w:val="center"/>
            <w:tcMar>
              <w:top w:w="120" w:type="dxa"/>
              <w:start w:w="120" w:type="dxa"/>
              <w:bottom w:w="120" w:type="dxa"/>
              <w:end w:w="120" w:type="dxa"/>
            </w:tcMar>
          </w:tcPr>
          <w:p>
            <w:pPr>
              <w:spacing w:after="0"/>
              <w:jc w:val="center"/>
            </w:pPr>
            <w:r>
              <w:rPr>
                <w:rFonts w:ascii="Aptos" w:hAnsi="Aptos"/>
                <w:b/>
                <w:color w:val="FFFFFF"/>
                <w:sz w:val="19"/>
              </w:rPr>
              <w:t>Age Group</w:t>
            </w:r>
          </w:p>
        </w:tc>
        <w:tc>
          <w:tcPr>
            <w:tcW w:type="dxa" w:w="2376"/>
            <w:shd w:fill="0F172A"/>
            <w:vAlign w:val="center"/>
            <w:tcMar>
              <w:top w:w="120" w:type="dxa"/>
              <w:start w:w="120" w:type="dxa"/>
              <w:bottom w:w="120" w:type="dxa"/>
              <w:end w:w="120" w:type="dxa"/>
            </w:tcMar>
          </w:tcPr>
          <w:p>
            <w:pPr>
              <w:spacing w:after="0"/>
              <w:jc w:val="center"/>
            </w:pPr>
            <w:r>
              <w:rPr>
                <w:rFonts w:ascii="Aptos" w:hAnsi="Aptos"/>
                <w:b/>
                <w:color w:val="FFFFFF"/>
                <w:sz w:val="19"/>
              </w:rPr>
              <w:t>Revenue</w:t>
            </w:r>
          </w:p>
        </w:tc>
        <w:tc>
          <w:tcPr>
            <w:tcW w:type="dxa" w:w="2376"/>
            <w:shd w:fill="0F172A"/>
            <w:vAlign w:val="center"/>
            <w:tcMar>
              <w:top w:w="120" w:type="dxa"/>
              <w:start w:w="120" w:type="dxa"/>
              <w:bottom w:w="120" w:type="dxa"/>
              <w:end w:w="120" w:type="dxa"/>
            </w:tcMar>
          </w:tcPr>
          <w:p>
            <w:pPr>
              <w:spacing w:after="0"/>
              <w:jc w:val="center"/>
            </w:pPr>
            <w:r>
              <w:rPr>
                <w:rFonts w:ascii="Aptos" w:hAnsi="Aptos"/>
                <w:b/>
                <w:color w:val="FFFFFF"/>
                <w:sz w:val="19"/>
              </w:rPr>
              <w:t>Share of Total</w:t>
            </w:r>
          </w:p>
        </w:tc>
        <w:tc>
          <w:tcPr>
            <w:tcW w:type="dxa" w:w="1800"/>
            <w:shd w:fill="0F172A"/>
            <w:vAlign w:val="center"/>
            <w:tcMar>
              <w:top w:w="120" w:type="dxa"/>
              <w:start w:w="120" w:type="dxa"/>
              <w:bottom w:w="120" w:type="dxa"/>
              <w:end w:w="120" w:type="dxa"/>
            </w:tcMar>
          </w:tcPr>
          <w:p>
            <w:pPr>
              <w:spacing w:after="0"/>
              <w:jc w:val="center"/>
            </w:pPr>
            <w:r>
              <w:rPr>
                <w:rFonts w:ascii="Aptos" w:hAnsi="Aptos"/>
                <w:b/>
                <w:color w:val="FFFFFF"/>
                <w:sz w:val="19"/>
              </w:rPr>
              <w:t>Rank</w:t>
            </w:r>
          </w:p>
        </w:tc>
      </w:tr>
      <w:tr>
        <w:tc>
          <w:tcPr>
            <w:tcW w:type="dxa" w:w="3384"/>
            <w:tcMar>
              <w:top w:w="75" w:type="dxa"/>
              <w:start w:w="110" w:type="dxa"/>
              <w:bottom w:w="75" w:type="dxa"/>
              <w:end w:w="110" w:type="dxa"/>
            </w:tcMar>
            <w:vAlign w:val="center"/>
          </w:tcPr>
          <w:p>
            <w:pPr>
              <w:spacing w:after="0" w:line="252" w:lineRule="auto"/>
              <w:jc w:val="center"/>
            </w:pPr>
            <w:r>
              <w:rPr>
                <w:rFonts w:ascii="Aptos" w:hAnsi="Aptos"/>
                <w:color w:val="172033"/>
                <w:sz w:val="19"/>
              </w:rPr>
              <w:t>Young Adult</w:t>
            </w:r>
          </w:p>
        </w:tc>
        <w:tc>
          <w:tcPr>
            <w:tcW w:type="dxa" w:w="2376"/>
            <w:tcMar>
              <w:top w:w="75" w:type="dxa"/>
              <w:start w:w="110" w:type="dxa"/>
              <w:bottom w:w="75" w:type="dxa"/>
              <w:end w:w="110" w:type="dxa"/>
            </w:tcMar>
            <w:vAlign w:val="center"/>
          </w:tcPr>
          <w:p>
            <w:pPr>
              <w:spacing w:after="0" w:line="252" w:lineRule="auto"/>
              <w:jc w:val="center"/>
            </w:pPr>
            <w:r>
              <w:rPr>
                <w:rFonts w:ascii="Aptos" w:hAnsi="Aptos"/>
                <w:color w:val="172033"/>
                <w:sz w:val="19"/>
              </w:rPr>
              <w:t>$62,143</w:t>
            </w:r>
          </w:p>
        </w:tc>
        <w:tc>
          <w:tcPr>
            <w:tcW w:type="dxa" w:w="2376"/>
            <w:tcMar>
              <w:top w:w="75" w:type="dxa"/>
              <w:start w:w="110" w:type="dxa"/>
              <w:bottom w:w="75" w:type="dxa"/>
              <w:end w:w="110" w:type="dxa"/>
            </w:tcMar>
            <w:vAlign w:val="center"/>
          </w:tcPr>
          <w:p>
            <w:pPr>
              <w:spacing w:after="0" w:line="252" w:lineRule="auto"/>
              <w:jc w:val="center"/>
            </w:pPr>
            <w:r>
              <w:rPr>
                <w:rFonts w:ascii="Aptos" w:hAnsi="Aptos"/>
                <w:color w:val="172033"/>
                <w:sz w:val="19"/>
              </w:rPr>
              <w:t>26.66%</w:t>
            </w:r>
          </w:p>
        </w:tc>
        <w:tc>
          <w:tcPr>
            <w:tcW w:type="dxa" w:w="1800"/>
            <w:tcMar>
              <w:top w:w="75" w:type="dxa"/>
              <w:start w:w="110" w:type="dxa"/>
              <w:bottom w:w="75" w:type="dxa"/>
              <w:end w:w="110" w:type="dxa"/>
            </w:tcMar>
            <w:vAlign w:val="center"/>
          </w:tcPr>
          <w:p>
            <w:pPr>
              <w:spacing w:after="0" w:line="252" w:lineRule="auto"/>
              <w:jc w:val="center"/>
            </w:pPr>
            <w:r>
              <w:rPr>
                <w:rFonts w:ascii="Aptos" w:hAnsi="Aptos"/>
                <w:color w:val="172033"/>
                <w:sz w:val="19"/>
              </w:rPr>
              <w:t>1</w:t>
            </w:r>
          </w:p>
        </w:tc>
      </w:tr>
      <w:tr>
        <w:tc>
          <w:tcPr>
            <w:tcW w:type="dxa" w:w="3384"/>
            <w:tcMar>
              <w:top w:w="75" w:type="dxa"/>
              <w:start w:w="110" w:type="dxa"/>
              <w:bottom w:w="75" w:type="dxa"/>
              <w:end w:w="110" w:type="dxa"/>
            </w:tcMar>
            <w:vAlign w:val="center"/>
            <w:shd w:fill="F3F6FA"/>
          </w:tcPr>
          <w:p>
            <w:pPr>
              <w:spacing w:after="0" w:line="252" w:lineRule="auto"/>
              <w:jc w:val="center"/>
            </w:pPr>
            <w:r>
              <w:rPr>
                <w:rFonts w:ascii="Aptos" w:hAnsi="Aptos"/>
                <w:color w:val="172033"/>
                <w:sz w:val="19"/>
              </w:rPr>
              <w:t>Middle-aged</w:t>
            </w:r>
          </w:p>
        </w:tc>
        <w:tc>
          <w:tcPr>
            <w:tcW w:type="dxa" w:w="2376"/>
            <w:tcMar>
              <w:top w:w="75" w:type="dxa"/>
              <w:start w:w="110" w:type="dxa"/>
              <w:bottom w:w="75" w:type="dxa"/>
              <w:end w:w="110" w:type="dxa"/>
            </w:tcMar>
            <w:vAlign w:val="center"/>
            <w:shd w:fill="F3F6FA"/>
          </w:tcPr>
          <w:p>
            <w:pPr>
              <w:spacing w:after="0" w:line="252" w:lineRule="auto"/>
              <w:jc w:val="center"/>
            </w:pPr>
            <w:r>
              <w:rPr>
                <w:rFonts w:ascii="Aptos" w:hAnsi="Aptos"/>
                <w:color w:val="172033"/>
                <w:sz w:val="19"/>
              </w:rPr>
              <w:t>$59,197</w:t>
            </w:r>
          </w:p>
        </w:tc>
        <w:tc>
          <w:tcPr>
            <w:tcW w:type="dxa" w:w="2376"/>
            <w:tcMar>
              <w:top w:w="75" w:type="dxa"/>
              <w:start w:w="110" w:type="dxa"/>
              <w:bottom w:w="75" w:type="dxa"/>
              <w:end w:w="110" w:type="dxa"/>
            </w:tcMar>
            <w:vAlign w:val="center"/>
            <w:shd w:fill="F3F6FA"/>
          </w:tcPr>
          <w:p>
            <w:pPr>
              <w:spacing w:after="0" w:line="252" w:lineRule="auto"/>
              <w:jc w:val="center"/>
            </w:pPr>
            <w:r>
              <w:rPr>
                <w:rFonts w:ascii="Aptos" w:hAnsi="Aptos"/>
                <w:color w:val="172033"/>
                <w:sz w:val="19"/>
              </w:rPr>
              <w:t>25.40%</w:t>
            </w:r>
          </w:p>
        </w:tc>
        <w:tc>
          <w:tcPr>
            <w:tcW w:type="dxa" w:w="1800"/>
            <w:tcMar>
              <w:top w:w="75" w:type="dxa"/>
              <w:start w:w="110" w:type="dxa"/>
              <w:bottom w:w="75" w:type="dxa"/>
              <w:end w:w="110" w:type="dxa"/>
            </w:tcMar>
            <w:vAlign w:val="center"/>
            <w:shd w:fill="F3F6FA"/>
          </w:tcPr>
          <w:p>
            <w:pPr>
              <w:spacing w:after="0" w:line="252" w:lineRule="auto"/>
              <w:jc w:val="center"/>
            </w:pPr>
            <w:r>
              <w:rPr>
                <w:rFonts w:ascii="Aptos" w:hAnsi="Aptos"/>
                <w:color w:val="172033"/>
                <w:sz w:val="19"/>
              </w:rPr>
              <w:t>2</w:t>
            </w:r>
          </w:p>
        </w:tc>
      </w:tr>
      <w:tr>
        <w:tc>
          <w:tcPr>
            <w:tcW w:type="dxa" w:w="3384"/>
            <w:tcMar>
              <w:top w:w="75" w:type="dxa"/>
              <w:start w:w="110" w:type="dxa"/>
              <w:bottom w:w="75" w:type="dxa"/>
              <w:end w:w="110" w:type="dxa"/>
            </w:tcMar>
            <w:vAlign w:val="center"/>
          </w:tcPr>
          <w:p>
            <w:pPr>
              <w:spacing w:after="0" w:line="252" w:lineRule="auto"/>
              <w:jc w:val="center"/>
            </w:pPr>
            <w:r>
              <w:rPr>
                <w:rFonts w:ascii="Aptos" w:hAnsi="Aptos"/>
                <w:color w:val="172033"/>
                <w:sz w:val="19"/>
              </w:rPr>
              <w:t>Adult</w:t>
            </w:r>
          </w:p>
        </w:tc>
        <w:tc>
          <w:tcPr>
            <w:tcW w:type="dxa" w:w="2376"/>
            <w:tcMar>
              <w:top w:w="75" w:type="dxa"/>
              <w:start w:w="110" w:type="dxa"/>
              <w:bottom w:w="75" w:type="dxa"/>
              <w:end w:w="110" w:type="dxa"/>
            </w:tcMar>
            <w:vAlign w:val="center"/>
          </w:tcPr>
          <w:p>
            <w:pPr>
              <w:spacing w:after="0" w:line="252" w:lineRule="auto"/>
              <w:jc w:val="center"/>
            </w:pPr>
            <w:r>
              <w:rPr>
                <w:rFonts w:ascii="Aptos" w:hAnsi="Aptos"/>
                <w:color w:val="172033"/>
                <w:sz w:val="19"/>
              </w:rPr>
              <w:t>$55,978</w:t>
            </w:r>
          </w:p>
        </w:tc>
        <w:tc>
          <w:tcPr>
            <w:tcW w:type="dxa" w:w="2376"/>
            <w:tcMar>
              <w:top w:w="75" w:type="dxa"/>
              <w:start w:w="110" w:type="dxa"/>
              <w:bottom w:w="75" w:type="dxa"/>
              <w:end w:w="110" w:type="dxa"/>
            </w:tcMar>
            <w:vAlign w:val="center"/>
          </w:tcPr>
          <w:p>
            <w:pPr>
              <w:spacing w:after="0" w:line="252" w:lineRule="auto"/>
              <w:jc w:val="center"/>
            </w:pPr>
            <w:r>
              <w:rPr>
                <w:rFonts w:ascii="Aptos" w:hAnsi="Aptos"/>
                <w:color w:val="172033"/>
                <w:sz w:val="19"/>
              </w:rPr>
              <w:t>24.02%</w:t>
            </w:r>
          </w:p>
        </w:tc>
        <w:tc>
          <w:tcPr>
            <w:tcW w:type="dxa" w:w="1800"/>
            <w:tcMar>
              <w:top w:w="75" w:type="dxa"/>
              <w:start w:w="110" w:type="dxa"/>
              <w:bottom w:w="75" w:type="dxa"/>
              <w:end w:w="110" w:type="dxa"/>
            </w:tcMar>
            <w:vAlign w:val="center"/>
          </w:tcPr>
          <w:p>
            <w:pPr>
              <w:spacing w:after="0" w:line="252" w:lineRule="auto"/>
              <w:jc w:val="center"/>
            </w:pPr>
            <w:r>
              <w:rPr>
                <w:rFonts w:ascii="Aptos" w:hAnsi="Aptos"/>
                <w:color w:val="172033"/>
                <w:sz w:val="19"/>
              </w:rPr>
              <w:t>3</w:t>
            </w:r>
          </w:p>
        </w:tc>
      </w:tr>
      <w:tr>
        <w:tc>
          <w:tcPr>
            <w:tcW w:type="dxa" w:w="3384"/>
            <w:tcMar>
              <w:top w:w="75" w:type="dxa"/>
              <w:start w:w="110" w:type="dxa"/>
              <w:bottom w:w="75" w:type="dxa"/>
              <w:end w:w="110" w:type="dxa"/>
            </w:tcMar>
            <w:vAlign w:val="center"/>
            <w:shd w:fill="F3F6FA"/>
          </w:tcPr>
          <w:p>
            <w:pPr>
              <w:spacing w:after="0" w:line="252" w:lineRule="auto"/>
              <w:jc w:val="center"/>
            </w:pPr>
            <w:r>
              <w:rPr>
                <w:rFonts w:ascii="Aptos" w:hAnsi="Aptos"/>
                <w:color w:val="172033"/>
                <w:sz w:val="19"/>
              </w:rPr>
              <w:t>Senior</w:t>
            </w:r>
          </w:p>
        </w:tc>
        <w:tc>
          <w:tcPr>
            <w:tcW w:type="dxa" w:w="2376"/>
            <w:tcMar>
              <w:top w:w="75" w:type="dxa"/>
              <w:start w:w="110" w:type="dxa"/>
              <w:bottom w:w="75" w:type="dxa"/>
              <w:end w:w="110" w:type="dxa"/>
            </w:tcMar>
            <w:vAlign w:val="center"/>
            <w:shd w:fill="F3F6FA"/>
          </w:tcPr>
          <w:p>
            <w:pPr>
              <w:spacing w:after="0" w:line="252" w:lineRule="auto"/>
              <w:jc w:val="center"/>
            </w:pPr>
            <w:r>
              <w:rPr>
                <w:rFonts w:ascii="Aptos" w:hAnsi="Aptos"/>
                <w:color w:val="172033"/>
                <w:sz w:val="19"/>
              </w:rPr>
              <w:t>$55,763</w:t>
            </w:r>
          </w:p>
        </w:tc>
        <w:tc>
          <w:tcPr>
            <w:tcW w:type="dxa" w:w="2376"/>
            <w:tcMar>
              <w:top w:w="75" w:type="dxa"/>
              <w:start w:w="110" w:type="dxa"/>
              <w:bottom w:w="75" w:type="dxa"/>
              <w:end w:w="110" w:type="dxa"/>
            </w:tcMar>
            <w:vAlign w:val="center"/>
            <w:shd w:fill="F3F6FA"/>
          </w:tcPr>
          <w:p>
            <w:pPr>
              <w:spacing w:after="0" w:line="252" w:lineRule="auto"/>
              <w:jc w:val="center"/>
            </w:pPr>
            <w:r>
              <w:rPr>
                <w:rFonts w:ascii="Aptos" w:hAnsi="Aptos"/>
                <w:color w:val="172033"/>
                <w:sz w:val="19"/>
              </w:rPr>
              <w:t>23.92%</w:t>
            </w:r>
          </w:p>
        </w:tc>
        <w:tc>
          <w:tcPr>
            <w:tcW w:type="dxa" w:w="1800"/>
            <w:tcMar>
              <w:top w:w="75" w:type="dxa"/>
              <w:start w:w="110" w:type="dxa"/>
              <w:bottom w:w="75" w:type="dxa"/>
              <w:end w:w="110" w:type="dxa"/>
            </w:tcMar>
            <w:vAlign w:val="center"/>
            <w:shd w:fill="F3F6FA"/>
          </w:tcPr>
          <w:p>
            <w:pPr>
              <w:spacing w:after="0" w:line="252" w:lineRule="auto"/>
              <w:jc w:val="center"/>
            </w:pPr>
            <w:r>
              <w:rPr>
                <w:rFonts w:ascii="Aptos" w:hAnsi="Aptos"/>
                <w:color w:val="172033"/>
                <w:sz w:val="19"/>
              </w:rPr>
              <w:t>4</w:t>
            </w:r>
          </w:p>
        </w:tc>
      </w:tr>
    </w:tbl>
    <w:p>
      <w:pPr>
        <w:pStyle w:val="Heading2"/>
        <w:keepNext/>
      </w:pPr>
      <w:r>
        <w:t>Customer Engagement</w:t>
      </w:r>
    </w:p>
    <w:p>
      <w:pPr>
        <w:pStyle w:val="ListBullet"/>
        <w:spacing w:after="80"/>
        <w:ind w:left="403" w:hanging="259"/>
      </w:pPr>
      <w:r>
        <w:t>Approximately 1,053 customers are subscribed and 2,847 are not subscribed, producing a 27% versus 73% split.</w:t>
      </w:r>
    </w:p>
    <w:p>
      <w:pPr>
        <w:pStyle w:val="ListBullet"/>
        <w:spacing w:after="80"/>
        <w:ind w:left="403" w:hanging="259"/>
      </w:pPr>
      <w:r>
        <w:t>The large non-subscriber segment is the clearest conversion opportunity in the dashboard.</w:t>
      </w:r>
    </w:p>
    <w:p>
      <w:pPr>
        <w:pStyle w:val="ListBullet"/>
        <w:spacing w:after="80"/>
        <w:ind w:left="403" w:hanging="259"/>
      </w:pPr>
      <w:r>
        <w:t>The 3.75 average rating suggests broadly positive feedback, but it is not high enough to treat customer experience as fully optimized.</w:t>
      </w:r>
    </w:p>
    <w:p>
      <w:pPr>
        <w:pStyle w:val="ListBullet"/>
        <w:spacing w:after="80"/>
        <w:ind w:left="403" w:hanging="259"/>
      </w:pPr>
      <w:r>
        <w:t>Revenue is relatively balanced across age groups, although young adults lead the ranking.</w:t>
      </w:r>
    </w:p>
    <w:p>
      <w:pPr>
        <w:pStyle w:val="Heading1"/>
        <w:keepNext/>
      </w:pPr>
      <w:r>
        <w:t>7 Business Recommendations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080"/>
            <w:shd w:fill="0F172A"/>
            <w:vAlign w:val="center"/>
            <w:tcMar>
              <w:top w:w="120" w:type="dxa"/>
              <w:start w:w="120" w:type="dxa"/>
              <w:bottom w:w="120" w:type="dxa"/>
              <w:end w:w="120" w:type="dxa"/>
            </w:tcMar>
          </w:tcPr>
          <w:p>
            <w:pPr>
              <w:spacing w:after="0"/>
              <w:jc w:val="center"/>
            </w:pPr>
            <w:r>
              <w:rPr>
                <w:rFonts w:ascii="Aptos" w:hAnsi="Aptos"/>
                <w:b/>
                <w:color w:val="FFFFFF"/>
                <w:sz w:val="19"/>
              </w:rPr>
              <w:t>Priority</w:t>
            </w:r>
          </w:p>
        </w:tc>
        <w:tc>
          <w:tcPr>
            <w:tcW w:type="dxa" w:w="5112"/>
            <w:shd w:fill="0F172A"/>
            <w:vAlign w:val="center"/>
            <w:tcMar>
              <w:top w:w="120" w:type="dxa"/>
              <w:start w:w="120" w:type="dxa"/>
              <w:bottom w:w="120" w:type="dxa"/>
              <w:end w:w="120" w:type="dxa"/>
            </w:tcMar>
          </w:tcPr>
          <w:p>
            <w:pPr>
              <w:spacing w:after="0"/>
              <w:jc w:val="center"/>
            </w:pPr>
            <w:r>
              <w:rPr>
                <w:rFonts w:ascii="Aptos" w:hAnsi="Aptos"/>
                <w:b/>
                <w:color w:val="FFFFFF"/>
                <w:sz w:val="19"/>
              </w:rPr>
              <w:t>Recommended Action</w:t>
            </w:r>
          </w:p>
        </w:tc>
        <w:tc>
          <w:tcPr>
            <w:tcW w:type="dxa" w:w="3744"/>
            <w:shd w:fill="0F172A"/>
            <w:vAlign w:val="center"/>
            <w:tcMar>
              <w:top w:w="120" w:type="dxa"/>
              <w:start w:w="120" w:type="dxa"/>
              <w:bottom w:w="120" w:type="dxa"/>
              <w:end w:w="120" w:type="dxa"/>
            </w:tcMar>
          </w:tcPr>
          <w:p>
            <w:pPr>
              <w:spacing w:after="0"/>
              <w:jc w:val="center"/>
            </w:pPr>
            <w:r>
              <w:rPr>
                <w:rFonts w:ascii="Aptos" w:hAnsi="Aptos"/>
                <w:b/>
                <w:color w:val="FFFFFF"/>
                <w:sz w:val="19"/>
              </w:rPr>
              <w:t>Reason</w:t>
            </w:r>
          </w:p>
        </w:tc>
      </w:tr>
      <w:tr>
        <w:tc>
          <w:tcPr>
            <w:tcW w:type="dxa" w:w="1080"/>
            <w:tcMar>
              <w:top w:w="75" w:type="dxa"/>
              <w:start w:w="110" w:type="dxa"/>
              <w:bottom w:w="75" w:type="dxa"/>
              <w:end w:w="110" w:type="dxa"/>
            </w:tcMar>
            <w:vAlign w:val="center"/>
          </w:tcPr>
          <w:p>
            <w:pPr>
              <w:spacing w:after="0" w:line="252" w:lineRule="auto"/>
              <w:jc w:val="center"/>
            </w:pPr>
            <w:r>
              <w:rPr>
                <w:rFonts w:ascii="Aptos" w:hAnsi="Aptos"/>
                <w:color w:val="172033"/>
                <w:sz w:val="17"/>
              </w:rPr>
              <w:t>High</w:t>
            </w:r>
          </w:p>
        </w:tc>
        <w:tc>
          <w:tcPr>
            <w:tcW w:type="dxa" w:w="5112"/>
            <w:tcMar>
              <w:top w:w="75" w:type="dxa"/>
              <w:start w:w="110" w:type="dxa"/>
              <w:bottom w:w="75" w:type="dxa"/>
              <w:end w:w="110" w:type="dxa"/>
            </w:tcMar>
            <w:vAlign w:val="center"/>
          </w:tcPr>
          <w:p>
            <w:pPr>
              <w:spacing w:after="0" w:line="252" w:lineRule="auto"/>
              <w:jc w:val="left"/>
            </w:pPr>
            <w:r>
              <w:rPr>
                <w:rFonts w:ascii="Aptos" w:hAnsi="Aptos"/>
                <w:color w:val="172033"/>
                <w:sz w:val="17"/>
              </w:rPr>
              <w:t>Create a targeted subscription conversion campaign for non-subscribers</w:t>
            </w:r>
          </w:p>
        </w:tc>
        <w:tc>
          <w:tcPr>
            <w:tcW w:type="dxa" w:w="3744"/>
            <w:tcMar>
              <w:top w:w="75" w:type="dxa"/>
              <w:start w:w="110" w:type="dxa"/>
              <w:bottom w:w="75" w:type="dxa"/>
              <w:end w:w="110" w:type="dxa"/>
            </w:tcMar>
            <w:vAlign w:val="center"/>
          </w:tcPr>
          <w:p>
            <w:pPr>
              <w:spacing w:after="0" w:line="252" w:lineRule="auto"/>
              <w:jc w:val="left"/>
            </w:pPr>
            <w:r>
              <w:rPr>
                <w:rFonts w:ascii="Aptos" w:hAnsi="Aptos"/>
                <w:color w:val="172033"/>
                <w:sz w:val="17"/>
              </w:rPr>
              <w:t>Seventy-three percent of customers are currently outside the subscription base</w:t>
            </w:r>
          </w:p>
        </w:tc>
      </w:tr>
      <w:tr>
        <w:tc>
          <w:tcPr>
            <w:tcW w:type="dxa" w:w="1080"/>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High</w:t>
            </w:r>
          </w:p>
        </w:tc>
        <w:tc>
          <w:tcPr>
            <w:tcW w:type="dxa" w:w="5112"/>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Protect Clothing availability and use it to cross-sell Accessories</w:t>
            </w:r>
          </w:p>
        </w:tc>
        <w:tc>
          <w:tcPr>
            <w:tcW w:type="dxa" w:w="374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Together, the two categories generate more than three quarters of revenue</w:t>
            </w:r>
          </w:p>
        </w:tc>
      </w:tr>
      <w:tr>
        <w:tc>
          <w:tcPr>
            <w:tcW w:type="dxa" w:w="1080"/>
            <w:tcMar>
              <w:top w:w="75" w:type="dxa"/>
              <w:start w:w="110" w:type="dxa"/>
              <w:bottom w:w="75" w:type="dxa"/>
              <w:end w:w="110" w:type="dxa"/>
            </w:tcMar>
            <w:vAlign w:val="center"/>
          </w:tcPr>
          <w:p>
            <w:pPr>
              <w:spacing w:after="0" w:line="252" w:lineRule="auto"/>
              <w:jc w:val="center"/>
            </w:pPr>
            <w:r>
              <w:rPr>
                <w:rFonts w:ascii="Aptos" w:hAnsi="Aptos"/>
                <w:color w:val="172033"/>
                <w:sz w:val="17"/>
              </w:rPr>
              <w:t>Medium</w:t>
            </w:r>
          </w:p>
        </w:tc>
        <w:tc>
          <w:tcPr>
            <w:tcW w:type="dxa" w:w="5112"/>
            <w:tcMar>
              <w:top w:w="75" w:type="dxa"/>
              <w:start w:w="110" w:type="dxa"/>
              <w:bottom w:w="75" w:type="dxa"/>
              <w:end w:w="110" w:type="dxa"/>
            </w:tcMar>
            <w:vAlign w:val="center"/>
          </w:tcPr>
          <w:p>
            <w:pPr>
              <w:spacing w:after="0" w:line="252" w:lineRule="auto"/>
              <w:jc w:val="left"/>
            </w:pPr>
            <w:r>
              <w:rPr>
                <w:rFonts w:ascii="Aptos" w:hAnsi="Aptos"/>
                <w:color w:val="172033"/>
                <w:sz w:val="17"/>
              </w:rPr>
              <w:t>Develop age-specific creative and offers for young adults</w:t>
            </w:r>
          </w:p>
        </w:tc>
        <w:tc>
          <w:tcPr>
            <w:tcW w:type="dxa" w:w="3744"/>
            <w:tcMar>
              <w:top w:w="75" w:type="dxa"/>
              <w:start w:w="110" w:type="dxa"/>
              <w:bottom w:w="75" w:type="dxa"/>
              <w:end w:w="110" w:type="dxa"/>
            </w:tcMar>
            <w:vAlign w:val="center"/>
          </w:tcPr>
          <w:p>
            <w:pPr>
              <w:spacing w:after="0" w:line="252" w:lineRule="auto"/>
              <w:jc w:val="left"/>
            </w:pPr>
            <w:r>
              <w:rPr>
                <w:rFonts w:ascii="Aptos" w:hAnsi="Aptos"/>
                <w:color w:val="172033"/>
                <w:sz w:val="17"/>
              </w:rPr>
              <w:t>Young adults lead revenue and sales in the dashboard</w:t>
            </w:r>
          </w:p>
        </w:tc>
      </w:tr>
      <w:tr>
        <w:tc>
          <w:tcPr>
            <w:tcW w:type="dxa" w:w="1080"/>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Medium</w:t>
            </w:r>
          </w:p>
        </w:tc>
        <w:tc>
          <w:tcPr>
            <w:tcW w:type="dxa" w:w="5112"/>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Review low-rated products and service touchpoints</w:t>
            </w:r>
          </w:p>
        </w:tc>
        <w:tc>
          <w:tcPr>
            <w:tcW w:type="dxa" w:w="374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An average rating of 3.75 leaves measurable room for improvement</w:t>
            </w:r>
          </w:p>
        </w:tc>
      </w:tr>
      <w:tr>
        <w:tc>
          <w:tcPr>
            <w:tcW w:type="dxa" w:w="1080"/>
            <w:tcMar>
              <w:top w:w="75" w:type="dxa"/>
              <w:start w:w="110" w:type="dxa"/>
              <w:bottom w:w="75" w:type="dxa"/>
              <w:end w:w="110" w:type="dxa"/>
            </w:tcMar>
            <w:vAlign w:val="center"/>
          </w:tcPr>
          <w:p>
            <w:pPr>
              <w:spacing w:after="0" w:line="252" w:lineRule="auto"/>
              <w:jc w:val="center"/>
            </w:pPr>
            <w:r>
              <w:rPr>
                <w:rFonts w:ascii="Aptos" w:hAnsi="Aptos"/>
                <w:color w:val="172033"/>
                <w:sz w:val="17"/>
              </w:rPr>
              <w:t>Medium</w:t>
            </w:r>
          </w:p>
        </w:tc>
        <w:tc>
          <w:tcPr>
            <w:tcW w:type="dxa" w:w="5112"/>
            <w:tcMar>
              <w:top w:w="75" w:type="dxa"/>
              <w:start w:w="110" w:type="dxa"/>
              <w:bottom w:w="75" w:type="dxa"/>
              <w:end w:w="110" w:type="dxa"/>
            </w:tcMar>
            <w:vAlign w:val="center"/>
          </w:tcPr>
          <w:p>
            <w:pPr>
              <w:spacing w:after="0" w:line="252" w:lineRule="auto"/>
              <w:jc w:val="left"/>
            </w:pPr>
            <w:r>
              <w:rPr>
                <w:rFonts w:ascii="Aptos" w:hAnsi="Aptos"/>
                <w:color w:val="172033"/>
                <w:sz w:val="17"/>
              </w:rPr>
              <w:t>Use loyalty segments for differentiated communication</w:t>
            </w:r>
          </w:p>
        </w:tc>
        <w:tc>
          <w:tcPr>
            <w:tcW w:type="dxa" w:w="3744"/>
            <w:tcMar>
              <w:top w:w="75" w:type="dxa"/>
              <w:start w:w="110" w:type="dxa"/>
              <w:bottom w:w="75" w:type="dxa"/>
              <w:end w:w="110" w:type="dxa"/>
            </w:tcMar>
            <w:vAlign w:val="center"/>
          </w:tcPr>
          <w:p>
            <w:pPr>
              <w:spacing w:after="0" w:line="252" w:lineRule="auto"/>
              <w:jc w:val="left"/>
            </w:pPr>
            <w:r>
              <w:rPr>
                <w:rFonts w:ascii="Aptos" w:hAnsi="Aptos"/>
                <w:color w:val="172033"/>
                <w:sz w:val="17"/>
              </w:rPr>
              <w:t>New, Returning, and Loyal customers should not receive the same message</w:t>
            </w:r>
          </w:p>
        </w:tc>
      </w:tr>
      <w:tr>
        <w:tc>
          <w:tcPr>
            <w:tcW w:type="dxa" w:w="1080"/>
            <w:tcMar>
              <w:top w:w="75" w:type="dxa"/>
              <w:start w:w="110" w:type="dxa"/>
              <w:bottom w:w="75" w:type="dxa"/>
              <w:end w:w="110" w:type="dxa"/>
            </w:tcMar>
            <w:vAlign w:val="center"/>
            <w:shd w:fill="F3F6FA"/>
          </w:tcPr>
          <w:p>
            <w:pPr>
              <w:spacing w:after="0" w:line="252" w:lineRule="auto"/>
              <w:jc w:val="center"/>
            </w:pPr>
            <w:r>
              <w:rPr>
                <w:rFonts w:ascii="Aptos" w:hAnsi="Aptos"/>
                <w:color w:val="172033"/>
                <w:sz w:val="17"/>
              </w:rPr>
              <w:t>Low</w:t>
            </w:r>
          </w:p>
        </w:tc>
        <w:tc>
          <w:tcPr>
            <w:tcW w:type="dxa" w:w="5112"/>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Test seasonal bundles for Footwear and Outerwear</w:t>
            </w:r>
          </w:p>
        </w:tc>
        <w:tc>
          <w:tcPr>
            <w:tcW w:type="dxa" w:w="3744"/>
            <w:tcMar>
              <w:top w:w="75" w:type="dxa"/>
              <w:start w:w="110" w:type="dxa"/>
              <w:bottom w:w="75" w:type="dxa"/>
              <w:end w:w="110" w:type="dxa"/>
            </w:tcMar>
            <w:vAlign w:val="center"/>
            <w:shd w:fill="F3F6FA"/>
          </w:tcPr>
          <w:p>
            <w:pPr>
              <w:spacing w:after="0" w:line="252" w:lineRule="auto"/>
              <w:jc w:val="left"/>
            </w:pPr>
            <w:r>
              <w:rPr>
                <w:rFonts w:ascii="Aptos" w:hAnsi="Aptos"/>
                <w:color w:val="172033"/>
                <w:sz w:val="17"/>
              </w:rPr>
              <w:t>The smaller categories can be developed without weakening the core Clothing offer</w:t>
            </w:r>
          </w:p>
        </w:tc>
      </w:tr>
    </w:tbl>
    <w:p>
      <w:pPr>
        <w:pStyle w:val="Heading1"/>
        <w:keepNext/>
      </w:pPr>
      <w:r>
        <w:t>8 Skills Demonstrated</w:t>
      </w:r>
    </w:p>
    <w:p>
      <w:pPr>
        <w:pStyle w:val="ListBullet"/>
        <w:spacing w:after="80"/>
        <w:ind w:left="403" w:hanging="259"/>
      </w:pPr>
      <w:r>
        <w:t>Data profiling, missing-value treatment, and feature engineering with Pandas</w:t>
      </w:r>
    </w:p>
    <w:p>
      <w:pPr>
        <w:pStyle w:val="ListBullet"/>
        <w:spacing w:after="80"/>
        <w:ind w:left="403" w:hanging="259"/>
      </w:pPr>
      <w:r>
        <w:t>Relational analysis using aggregations, subqueries, CASE logic, CTEs, and window functions</w:t>
      </w:r>
    </w:p>
    <w:p>
      <w:pPr>
        <w:pStyle w:val="ListBullet"/>
        <w:spacing w:after="80"/>
        <w:ind w:left="403" w:hanging="259"/>
      </w:pPr>
      <w:r>
        <w:t>Power BI modeling and DAX measure creation</w:t>
      </w:r>
    </w:p>
    <w:p>
      <w:pPr>
        <w:pStyle w:val="ListBullet"/>
        <w:spacing w:after="80"/>
        <w:ind w:left="403" w:hanging="259"/>
      </w:pPr>
      <w:r>
        <w:t>Dashboard layout, KPI design, chart selection, and interactive filtering</w:t>
      </w:r>
    </w:p>
    <w:p>
      <w:pPr>
        <w:pStyle w:val="ListBullet"/>
        <w:spacing w:after="80"/>
        <w:ind w:left="403" w:hanging="259"/>
      </w:pPr>
      <w:r>
        <w:t>Translation of technical analysis into business findings and recommendations</w:t>
      </w:r>
    </w:p>
    <w:p>
      <w:pPr>
        <w:pStyle w:val="Heading2"/>
        <w:keepNext/>
      </w:pPr>
      <w:r>
        <w:t>Conclusion</w:t>
      </w:r>
    </w:p>
    <w:p>
      <w:pPr>
        <w:spacing w:after="100" w:line="259" w:lineRule="auto"/>
      </w:pPr>
      <w:r>
        <w:t>This project successfully converts a raw customer-shopping dataset into a complete analytical workflow and an interactive decision-support dashboard. It identifies the categories and customer groups that drive performance, makes the subscription gap visible, and provides practical actions for marketing, merchandising, and retention.</w:t>
      </w:r>
    </w:p>
    <w:p>
      <w:pPr>
        <w:spacing w:after="100" w:line="259" w:lineRule="auto"/>
      </w:pPr>
      <w:r>
        <w:t>The strongest result is the integration of Python, SQL, and Power BI into one coherent case study. The project demonstrates not only technical execution, but also the ability to frame business questions, validate data, communicate findings, and recommend next steps.</w:t>
      </w:r>
    </w:p>
    <w:p>
      <w:pPr>
        <w:pStyle w:val="Heading2"/>
        <w:keepNext/>
      </w:pPr>
      <w:r>
        <w:t>Portfolio Summary</w:t>
      </w:r>
    </w:p>
    <w:p>
      <w:pPr>
        <w:spacing w:after="100" w:line="259" w:lineRule="auto"/>
      </w:pPr>
      <w:r>
        <w:t>Analyzed 3,900 customer-shopping records using Python and MySQL, created customer and purchase-frequency features, answered ten business questions with advanced SQL, and built an interactive Power BI dashboard with DAX KPIs and dynamic filters. The analysis identified $233,081 in revenue, Clothing as the leading category, young adults as the highest-revenue age group, and a major subscription-conversion opportunity among the 73% non-subscriber segment.</w:t>
      </w:r>
    </w:p>
    <w:sectPr w:rsidR="00FC693F" w:rsidRPr="0006063C" w:rsidSect="00034616">
      <w:footerReference w:type="default" r:id="rId9"/>
      <w:head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7"/>
      </w:rPr>
      <w:t xml:space="preserve">Taki Abbas   |   Customer Shopping Behavior Analysis   |   </w:t>
    </w:r>
    <w:r>
      <w:rPr>
        <w:rFonts w:ascii="Aptos" w:hAnsi="Aptos"/>
        <w:color w:val="64748B"/>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 Project Report</dc:title>
  <dc:subject>Python SQL and Power BI portfolio case study</dc:subject>
  <dc:creator>Taki Abbas</dc:creator>
  <cp:keywords>customer analytics, Power BI, SQL, Python, Pandas, dashboard</cp:keywords>
  <dc:description>generated by python-docx</dc:description>
  <cp:lastModifiedBy/>
  <cp:revision>1</cp:revision>
  <dcterms:created xsi:type="dcterms:W3CDTF">2013-12-23T23:15:00Z</dcterms:created>
  <dcterms:modified xsi:type="dcterms:W3CDTF">2013-12-23T23:15:00Z</dcterms:modified>
  <cp:category/>
</cp:coreProperties>
</file>