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request-for-proposal"/>
    <w:p>
      <w:pPr>
        <w:pStyle w:val="Heading1"/>
      </w:pPr>
      <w:r>
        <w:t xml:space="preserve">Request for Proposal</w:t>
      </w:r>
    </w:p>
    <w:bookmarkStart w:id="20" w:name="executive-summary"/>
    <w:p>
      <w:pPr>
        <w:pStyle w:val="Heading2"/>
      </w:pPr>
      <w:r>
        <w:t xml:space="preserve">Executive Summary</w:t>
      </w:r>
    </w:p>
    <w:p>
      <w:pPr>
        <w:pStyle w:val="FirstParagraph"/>
      </w:pPr>
      <w:r>
        <w:t xml:space="preserve">Summit Manufacturing Corp is seeking Erp Implementation services. Apex Digital Solutions proposes a comprehensive solution leveraging our proven methodology, specialized expertise, and track record of successful delivery.</w:t>
      </w:r>
    </w:p>
    <w:p>
      <w:pPr>
        <w:pStyle w:val="BodyText"/>
      </w:pPr>
      <w:r>
        <w:rPr>
          <w:bCs/>
          <w:b/>
        </w:rPr>
        <w:t xml:space="preserve">Vendor</w:t>
      </w:r>
      <w:r>
        <w:t xml:space="preserve">: Apex Digital Solutions</w:t>
      </w:r>
      <w:r>
        <w:t xml:space="preserve"> </w:t>
      </w:r>
      <w:r>
        <w:rPr>
          <w:bCs/>
          <w:b/>
        </w:rPr>
        <w:t xml:space="preserve">Project Type</w:t>
      </w:r>
      <w:r>
        <w:t xml:space="preserve">: Erp Implementation</w:t>
      </w:r>
      <w:r>
        <w:t xml:space="preserve"> </w:t>
      </w:r>
      <w:r>
        <w:rPr>
          <w:bCs/>
          <w:b/>
        </w:rPr>
        <w:t xml:space="preserve">Proposed Duration</w:t>
      </w:r>
      <w:r>
        <w:t xml:space="preserve">: 42 weeks</w:t>
      </w:r>
      <w:r>
        <w:t xml:space="preserve"> </w:t>
      </w:r>
      <w:r>
        <w:rPr>
          <w:bCs/>
          <w:b/>
        </w:rPr>
        <w:t xml:space="preserve">Estimated Investment</w:t>
      </w:r>
      <w:r>
        <w:t xml:space="preserve">: $1,015,000 USD</w:t>
      </w:r>
    </w:p>
    <w:p>
      <w:r>
        <w:pict>
          <v:rect style="width:0;height:1.5pt" o:hralign="center" o:hrstd="t" o:hr="t"/>
        </w:pict>
      </w:r>
    </w:p>
    <w:bookmarkEnd w:id="20"/>
    <w:bookmarkStart w:id="21" w:name="about-summit-manufacturing-corp"/>
    <w:p>
      <w:pPr>
        <w:pStyle w:val="Heading2"/>
      </w:pPr>
      <w:r>
        <w:t xml:space="preserve">About Summit Manufacturing Corp</w:t>
      </w:r>
    </w:p>
    <w:p>
      <w:pPr>
        <w:pStyle w:val="FirstParagraph"/>
      </w:pPr>
      <w:r>
        <w:t xml:space="preserve">Summit Manufacturing Corp is a leading producer of precision industrial components serving aerospace, automotive, and energy sectors across North America and Europe. With 2,400 employees and $1.2B annual revenue, Summit operates 8 manufacturing facilities and maintains ISO 9001, AS9100, and NADCAP certifications.</w:t>
      </w:r>
    </w:p>
    <w:p>
      <w:pPr>
        <w:pStyle w:val="BodyText"/>
      </w:pPr>
      <w:r>
        <w:rPr>
          <w:bCs/>
          <w:b/>
        </w:rPr>
        <w:t xml:space="preserve">Industry</w:t>
      </w:r>
      <w:r>
        <w:t xml:space="preserve">: manufacturing</w:t>
      </w:r>
      <w:r>
        <w:t xml:space="preserve"> </w:t>
      </w:r>
      <w:r>
        <w:rPr>
          <w:bCs/>
          <w:b/>
        </w:rPr>
        <w:t xml:space="preserve">Key Challenges</w:t>
      </w:r>
      <w:r>
        <w:t xml:space="preserve">:</w:t>
      </w:r>
      <w:r>
        <w:t xml:space="preserve"> </w:t>
      </w:r>
      <w:r>
        <w:t xml:space="preserve">- Legacy system limitations</w:t>
      </w:r>
      <w:r>
        <w:t xml:space="preserve"> </w:t>
      </w:r>
      <w:r>
        <w:t xml:space="preserve">- Scalability constraints</w:t>
      </w:r>
      <w:r>
        <w:t xml:space="preserve"> </w:t>
      </w:r>
      <w:r>
        <w:t xml:space="preserve">- Compliance requirements</w:t>
      </w:r>
    </w:p>
    <w:p>
      <w:pPr>
        <w:pStyle w:val="BodyText"/>
      </w:pPr>
      <w:r>
        <w:rPr>
          <w:bCs/>
          <w:b/>
        </w:rPr>
        <w:t xml:space="preserve">Primary Objectives</w:t>
      </w:r>
      <w:r>
        <w:t xml:space="preserve">:</w:t>
      </w:r>
      <w:r>
        <w:t xml:space="preserve"> </w:t>
      </w:r>
      <w:r>
        <w:t xml:space="preserve">- Modernize infrastructure</w:t>
      </w:r>
      <w:r>
        <w:t xml:space="preserve"> </w:t>
      </w:r>
      <w:r>
        <w:t xml:space="preserve">- Improve operational efficiency</w:t>
      </w:r>
      <w:r>
        <w:t xml:space="preserve"> </w:t>
      </w:r>
      <w:r>
        <w:t xml:space="preserve">- Reduce total cost of ownership</w:t>
      </w:r>
    </w:p>
    <w:p>
      <w:r>
        <w:pict>
          <v:rect style="width:0;height:1.5pt" o:hralign="center" o:hrstd="t" o:hr="t"/>
        </w:pict>
      </w:r>
    </w:p>
    <w:bookmarkEnd w:id="21"/>
    <w:bookmarkStart w:id="23" w:name="understanding-your-needs"/>
    <w:p>
      <w:pPr>
        <w:pStyle w:val="Heading2"/>
      </w:pPr>
      <w:r>
        <w:t xml:space="preserve">Understanding Your Needs</w:t>
      </w:r>
    </w:p>
    <w:p>
      <w:pPr>
        <w:pStyle w:val="FirstParagraph"/>
      </w:pPr>
      <w:r>
        <w:t xml:space="preserve">Based on our analysis of your requirements, we understand that Summit Manufacturing Corp is facing:</w:t>
      </w:r>
    </w:p>
    <w:p>
      <w:pPr>
        <w:pStyle w:val="BodyText"/>
      </w:pPr>
      <w:r>
        <w:t xml:space="preserve">Summit Manufacturing requires a comprehensive digital transformation of their enterprise systems. The current Oracle EBS 11i platform, implemented in 2008, cannot support the company’s growth trajectory or operational complexity. Key pain points include: (1) Financial consolidation delays creating month-end bottlenecks, (2) Disconnected supply chain systems causing inventory inefficiencies, (3) Manual compliance processes consuming excessive resources, and (4) Aging infrastructure posing business continuity risks.</w:t>
      </w:r>
    </w:p>
    <w:bookmarkStart w:id="22" w:name="critical-success-factors"/>
    <w:p>
      <w:pPr>
        <w:pStyle w:val="Heading3"/>
      </w:pPr>
      <w:r>
        <w:t xml:space="preserve">Critical Success Factors</w:t>
      </w:r>
    </w:p>
    <w:p>
      <w:pPr>
        <w:numPr>
          <w:ilvl w:val="0"/>
          <w:numId w:val="1001"/>
        </w:numPr>
        <w:pStyle w:val="Compact"/>
      </w:pPr>
      <w:r>
        <w:t xml:space="preserve">Executive sponsorship from CEO and CFO with weekly engagement</w:t>
      </w:r>
    </w:p>
    <w:p>
      <w:pPr>
        <w:numPr>
          <w:ilvl w:val="0"/>
          <w:numId w:val="1001"/>
        </w:numPr>
        <w:pStyle w:val="Compact"/>
      </w:pPr>
      <w:r>
        <w:t xml:space="preserve">Dedicated internal project team of 6 FTEs including IT Director</w:t>
      </w:r>
    </w:p>
    <w:p>
      <w:pPr>
        <w:numPr>
          <w:ilvl w:val="0"/>
          <w:numId w:val="1001"/>
        </w:numPr>
        <w:pStyle w:val="Compact"/>
      </w:pPr>
      <w:r>
        <w:t xml:space="preserve">Clear scope boundaries with change control process</w:t>
      </w:r>
    </w:p>
    <w:p>
      <w:pPr>
        <w:numPr>
          <w:ilvl w:val="0"/>
          <w:numId w:val="1001"/>
        </w:numPr>
        <w:pStyle w:val="Compact"/>
      </w:pPr>
      <w:r>
        <w:t xml:space="preserve">Phased rollout reducing risk (pilot facility → remaining 7)</w:t>
      </w:r>
    </w:p>
    <w:p>
      <w:pPr>
        <w:numPr>
          <w:ilvl w:val="0"/>
          <w:numId w:val="1001"/>
        </w:numPr>
        <w:pStyle w:val="Compact"/>
      </w:pPr>
      <w:r>
        <w:t xml:space="preserve">Comprehensive change management with 200+ end users</w:t>
      </w:r>
    </w:p>
    <w:p>
      <w:pPr>
        <w:numPr>
          <w:ilvl w:val="0"/>
          <w:numId w:val="1001"/>
        </w:numPr>
        <w:pStyle w:val="Compact"/>
      </w:pPr>
      <w:r>
        <w:t xml:space="preserve">Data migration strategy preserving 15 years historical data</w:t>
      </w:r>
    </w:p>
    <w:p>
      <w:r>
        <w:pict>
          <v:rect style="width:0;height:1.5pt" o:hralign="center" o:hrstd="t" o:hr="t"/>
        </w:pict>
      </w:r>
    </w:p>
    <w:bookmarkEnd w:id="22"/>
    <w:bookmarkEnd w:id="23"/>
    <w:bookmarkStart w:id="29" w:name="our-proposed-solution"/>
    <w:p>
      <w:pPr>
        <w:pStyle w:val="Heading2"/>
      </w:pPr>
      <w:r>
        <w:t xml:space="preserve">Our Proposed Solution</w:t>
      </w:r>
    </w:p>
    <w:bookmarkStart w:id="24" w:name="solution-overview"/>
    <w:p>
      <w:pPr>
        <w:pStyle w:val="Heading3"/>
      </w:pPr>
      <w:r>
        <w:t xml:space="preserve">Solution Overview</w:t>
      </w:r>
    </w:p>
    <w:p>
      <w:pPr>
        <w:pStyle w:val="FirstParagraph"/>
      </w:pPr>
      <w:r>
        <w:t xml:space="preserve">Apex Digital Solutions proposes a comprehensive Oracle Fusion Cloud ERP implementation tailored to Summit Manufacturing’s multi-facility operational model. Our solution combines standard Oracle Cloud best practices with manufacturing-specific configurations including shop-floor integration, lot traceability, and multi-entity consolidation. The engagement follows our proven 4-phase Cloud Ascend methodology with fixed-price delivery.</w:t>
      </w:r>
    </w:p>
    <w:bookmarkEnd w:id="24"/>
    <w:bookmarkStart w:id="27" w:name="scope-of-work"/>
    <w:p>
      <w:pPr>
        <w:pStyle w:val="Heading3"/>
      </w:pPr>
      <w:r>
        <w:t xml:space="preserve">Scope of Work</w:t>
      </w:r>
    </w:p>
    <w:bookmarkStart w:id="25" w:name="in-scope"/>
    <w:p>
      <w:pPr>
        <w:pStyle w:val="Heading4"/>
      </w:pPr>
      <w:r>
        <w:t xml:space="preserve">In Scope</w:t>
      </w:r>
    </w:p>
    <w:p>
      <w:pPr>
        <w:numPr>
          <w:ilvl w:val="0"/>
          <w:numId w:val="1002"/>
        </w:numPr>
        <w:pStyle w:val="Compact"/>
      </w:pPr>
      <w:r>
        <w:t xml:space="preserve">Oracle Fusion Financials (GL, AP, AR, Cash Management, Expenses, Budgetary Control)</w:t>
      </w:r>
    </w:p>
    <w:p>
      <w:pPr>
        <w:numPr>
          <w:ilvl w:val="0"/>
          <w:numId w:val="1002"/>
        </w:numPr>
        <w:pStyle w:val="Compact"/>
      </w:pPr>
      <w:r>
        <w:t xml:space="preserve">Oracle Supply Chain (Procurement, Inventory, Manufacturing, Maintenance)</w:t>
      </w:r>
    </w:p>
    <w:p>
      <w:pPr>
        <w:numPr>
          <w:ilvl w:val="0"/>
          <w:numId w:val="1002"/>
        </w:numPr>
        <w:pStyle w:val="Compact"/>
      </w:pPr>
      <w:r>
        <w:t xml:space="preserve">Oracle Project Management (Project Financials, Grants Management)</w:t>
      </w:r>
    </w:p>
    <w:p>
      <w:pPr>
        <w:numPr>
          <w:ilvl w:val="0"/>
          <w:numId w:val="1002"/>
        </w:numPr>
        <w:pStyle w:val="Compact"/>
      </w:pPr>
      <w:r>
        <w:t xml:space="preserve">Integration with existing MES, WMS, CRM, and HRIS systems</w:t>
      </w:r>
    </w:p>
    <w:p>
      <w:pPr>
        <w:numPr>
          <w:ilvl w:val="0"/>
          <w:numId w:val="1002"/>
        </w:numPr>
        <w:pStyle w:val="Compact"/>
      </w:pPr>
      <w:r>
        <w:t xml:space="preserve">Data migration from Oracle EBS 11i (15 years historical data)</w:t>
      </w:r>
    </w:p>
    <w:p>
      <w:pPr>
        <w:numPr>
          <w:ilvl w:val="0"/>
          <w:numId w:val="1002"/>
        </w:numPr>
        <w:pStyle w:val="Compact"/>
      </w:pPr>
      <w:r>
        <w:t xml:space="preserve">Custom reporting and analytics using Oracle Analytics Cloud</w:t>
      </w:r>
    </w:p>
    <w:p>
      <w:pPr>
        <w:numPr>
          <w:ilvl w:val="0"/>
          <w:numId w:val="1002"/>
        </w:numPr>
        <w:pStyle w:val="Compact"/>
      </w:pPr>
      <w:r>
        <w:t xml:space="preserve">Security role design for 400+ users across 8 facilities</w:t>
      </w:r>
    </w:p>
    <w:p>
      <w:pPr>
        <w:numPr>
          <w:ilvl w:val="0"/>
          <w:numId w:val="1002"/>
        </w:numPr>
        <w:pStyle w:val="Compact"/>
      </w:pPr>
      <w:r>
        <w:t xml:space="preserve">Change management and training program for 200+ end users</w:t>
      </w:r>
    </w:p>
    <w:p>
      <w:pPr>
        <w:numPr>
          <w:ilvl w:val="0"/>
          <w:numId w:val="1002"/>
        </w:numPr>
        <w:pStyle w:val="Compact"/>
      </w:pPr>
      <w:r>
        <w:t xml:space="preserve">Post-go-live hypercare support (8 weeks)</w:t>
      </w:r>
    </w:p>
    <w:bookmarkEnd w:id="25"/>
    <w:bookmarkStart w:id="26" w:name="out-of-scope"/>
    <w:p>
      <w:pPr>
        <w:pStyle w:val="Heading4"/>
      </w:pPr>
      <w:r>
        <w:t xml:space="preserve">Out of Scope</w:t>
      </w:r>
    </w:p>
    <w:p>
      <w:pPr>
        <w:numPr>
          <w:ilvl w:val="0"/>
          <w:numId w:val="1003"/>
        </w:numPr>
        <w:pStyle w:val="Compact"/>
      </w:pPr>
      <w:r>
        <w:t xml:space="preserve">Items to be explicitly excluded will be documented in the Statement of Work</w:t>
      </w:r>
    </w:p>
    <w:p>
      <w:pPr>
        <w:numPr>
          <w:ilvl w:val="0"/>
          <w:numId w:val="1003"/>
        </w:numPr>
        <w:pStyle w:val="Compact"/>
      </w:pPr>
      <w:r>
        <w:t xml:space="preserve">Third-party software licensing (unless otherwise specified)</w:t>
      </w:r>
    </w:p>
    <w:p>
      <w:pPr>
        <w:numPr>
          <w:ilvl w:val="0"/>
          <w:numId w:val="1003"/>
        </w:numPr>
        <w:pStyle w:val="Compact"/>
      </w:pPr>
      <w:r>
        <w:t xml:space="preserve">Client-side infrastructure preparation</w:t>
      </w:r>
    </w:p>
    <w:bookmarkEnd w:id="26"/>
    <w:bookmarkEnd w:id="27"/>
    <w:bookmarkStart w:id="28" w:name="key-deliverables"/>
    <w:p>
      <w:pPr>
        <w:pStyle w:val="Heading3"/>
      </w:pPr>
      <w:r>
        <w:t xml:space="preserve">Key Deliverables</w:t>
      </w:r>
    </w:p>
    <w:p>
      <w:pPr>
        <w:numPr>
          <w:ilvl w:val="0"/>
          <w:numId w:val="1004"/>
        </w:numPr>
        <w:pStyle w:val="Compact"/>
      </w:pPr>
      <w:r>
        <w:t xml:space="preserve">Configured and tested Oracle Fusion Cloud ERP environment</w:t>
      </w:r>
    </w:p>
    <w:p>
      <w:pPr>
        <w:numPr>
          <w:ilvl w:val="0"/>
          <w:numId w:val="1004"/>
        </w:numPr>
        <w:pStyle w:val="Compact"/>
      </w:pPr>
      <w:r>
        <w:t xml:space="preserve">200+ custom reports and 50+ dashboards</w:t>
      </w:r>
    </w:p>
    <w:p>
      <w:pPr>
        <w:numPr>
          <w:ilvl w:val="0"/>
          <w:numId w:val="1004"/>
        </w:numPr>
        <w:pStyle w:val="Compact"/>
      </w:pPr>
      <w:r>
        <w:t xml:space="preserve">Integration middleware with 12 connected systems</w:t>
      </w:r>
    </w:p>
    <w:p>
      <w:pPr>
        <w:numPr>
          <w:ilvl w:val="0"/>
          <w:numId w:val="1004"/>
        </w:numPr>
        <w:pStyle w:val="Compact"/>
      </w:pPr>
      <w:r>
        <w:t xml:space="preserve">Data migration validation reports with 99.5% accuracy</w:t>
      </w:r>
    </w:p>
    <w:p>
      <w:pPr>
        <w:numPr>
          <w:ilvl w:val="0"/>
          <w:numId w:val="1004"/>
        </w:numPr>
        <w:pStyle w:val="Compact"/>
      </w:pPr>
      <w:r>
        <w:t xml:space="preserve">Security documentation and role assignment matrix</w:t>
      </w:r>
    </w:p>
    <w:p>
      <w:pPr>
        <w:numPr>
          <w:ilvl w:val="0"/>
          <w:numId w:val="1004"/>
        </w:numPr>
        <w:pStyle w:val="Compact"/>
      </w:pPr>
      <w:r>
        <w:t xml:space="preserve">Training materials and recorded sessions library</w:t>
      </w:r>
    </w:p>
    <w:p>
      <w:pPr>
        <w:numPr>
          <w:ilvl w:val="0"/>
          <w:numId w:val="1004"/>
        </w:numPr>
        <w:pStyle w:val="Compact"/>
      </w:pPr>
      <w:r>
        <w:t xml:space="preserve">Operations runbook and troubleshooting guide</w:t>
      </w:r>
    </w:p>
    <w:p>
      <w:pPr>
        <w:numPr>
          <w:ilvl w:val="0"/>
          <w:numId w:val="1004"/>
        </w:numPr>
        <w:pStyle w:val="Compact"/>
      </w:pPr>
      <w:r>
        <w:t xml:space="preserve">Knowledge transfer sessions (40 hours)</w:t>
      </w:r>
    </w:p>
    <w:p>
      <w:pPr>
        <w:numPr>
          <w:ilvl w:val="0"/>
          <w:numId w:val="1004"/>
        </w:numPr>
        <w:pStyle w:val="Compact"/>
      </w:pPr>
      <w:r>
        <w:t xml:space="preserve">Go-live readiness assessment and sign-off</w:t>
      </w:r>
    </w:p>
    <w:p>
      <w:pPr>
        <w:numPr>
          <w:ilvl w:val="0"/>
          <w:numId w:val="1004"/>
        </w:numPr>
        <w:pStyle w:val="Compact"/>
      </w:pPr>
      <w:r>
        <w:t xml:space="preserve">30-60-90 day post-go-live health checks</w:t>
      </w:r>
    </w:p>
    <w:p>
      <w:r>
        <w:pict>
          <v:rect style="width:0;height:1.5pt" o:hralign="center" o:hrstd="t" o:hr="t"/>
        </w:pict>
      </w:r>
    </w:p>
    <w:bookmarkEnd w:id="28"/>
    <w:bookmarkEnd w:id="29"/>
    <w:bookmarkStart w:id="30" w:name="our-approach"/>
    <w:p>
      <w:pPr>
        <w:pStyle w:val="Heading2"/>
      </w:pPr>
      <w:r>
        <w:t xml:space="preserve">Our Approach</w:t>
      </w:r>
    </w:p>
    <w:bookmarkEnd w:id="30"/>
    <w:bookmarkEnd w:id="31"/>
    <w:bookmarkStart w:id="42" w:name="methodology-cloud-ascend"/>
    <w:p>
      <w:pPr>
        <w:pStyle w:val="Heading1"/>
      </w:pPr>
      <w:r>
        <w:t xml:space="preserve">Methodology: Cloud Ascend™</w:t>
      </w:r>
    </w:p>
    <w:bookmarkStart w:id="32" w:name="philosophy"/>
    <w:p>
      <w:pPr>
        <w:pStyle w:val="Heading2"/>
      </w:pPr>
      <w:r>
        <w:t xml:space="preserve">Philosophy</w:t>
      </w:r>
    </w:p>
    <w:p>
      <w:pPr>
        <w:pStyle w:val="FirstParagraph"/>
      </w:pPr>
      <w:r>
        <w:t xml:space="preserve">Cloud Ascend is our proven methodology for cloud transformation engagements. It combines the structure of traditional waterfall planning with the adaptability of iterative delivery. The result is predictable outcomes with the flexibility to respond to discoveries.</w:t>
      </w:r>
    </w:p>
    <w:p>
      <w:pPr>
        <w:pStyle w:val="BlockText"/>
      </w:pPr>
      <w:r>
        <w:rPr>
          <w:iCs/>
          <w:i/>
        </w:rPr>
        <w:t xml:space="preserve">“</w:t>
      </w:r>
      <w:r>
        <w:rPr>
          <w:iCs/>
          <w:i/>
        </w:rPr>
        <w:t xml:space="preserve">Plan like a waterfall. Deliver like agile. Optimize like DevOps.</w:t>
      </w:r>
      <w:r>
        <w:rPr>
          <w:iCs/>
          <w:i/>
        </w:rPr>
        <w:t xml:space="preserve">”</w:t>
      </w:r>
    </w:p>
    <w:bookmarkEnd w:id="32"/>
    <w:bookmarkStart w:id="37" w:name="the-four-phases"/>
    <w:p>
      <w:pPr>
        <w:pStyle w:val="Heading2"/>
      </w:pPr>
      <w:r>
        <w:t xml:space="preserve">The Four Phases</w:t>
      </w:r>
    </w:p>
    <w:bookmarkStart w:id="33" w:name="phase-1-discover-weeks-1-4"/>
    <w:p>
      <w:pPr>
        <w:pStyle w:val="Heading3"/>
      </w:pPr>
      <w:r>
        <w:t xml:space="preserve">Phase 1: Discover (Weeks 1-4)</w:t>
      </w:r>
    </w:p>
    <w:p>
      <w:pPr>
        <w:pStyle w:val="FirstParagraph"/>
      </w:pPr>
      <w:r>
        <w:rPr>
          <w:bCs/>
          <w:b/>
        </w:rPr>
        <w:t xml:space="preserve">Objective</w:t>
      </w:r>
      <w:r>
        <w:t xml:space="preserve">: Understand the current state and define the future state with sufficient detail to plan confidently.</w:t>
      </w:r>
    </w:p>
    <w:p>
      <w:pPr>
        <w:pStyle w:val="BodyText"/>
      </w:pPr>
      <w:r>
        <w:rPr>
          <w:bCs/>
          <w:b/>
        </w:rPr>
        <w:t xml:space="preserve">Key Activities:</w:t>
      </w:r>
      <w:r>
        <w:t xml:space="preserve"> </w:t>
      </w:r>
      <w:r>
        <w:t xml:space="preserve">- Current-state architecture assessment</w:t>
      </w:r>
      <w:r>
        <w:t xml:space="preserve"> </w:t>
      </w:r>
      <w:r>
        <w:t xml:space="preserve">- Application portfolio analysis (RAG scoring)</w:t>
      </w:r>
      <w:r>
        <w:t xml:space="preserve"> </w:t>
      </w:r>
      <w:r>
        <w:t xml:space="preserve">- Stakeholder interviews (business + technical)</w:t>
      </w:r>
      <w:r>
        <w:t xml:space="preserve"> </w:t>
      </w:r>
      <w:r>
        <w:t xml:space="preserve">- Future-state architecture blueprint</w:t>
      </w:r>
      <w:r>
        <w:t xml:space="preserve"> </w:t>
      </w:r>
      <w:r>
        <w:t xml:space="preserve">- Business case validation</w:t>
      </w:r>
      <w:r>
        <w:t xml:space="preserve"> </w:t>
      </w:r>
      <w:r>
        <w:t xml:space="preserve">- Risk register creation</w:t>
      </w:r>
    </w:p>
    <w:p>
      <w:pPr>
        <w:pStyle w:val="BodyText"/>
      </w:pPr>
      <w:r>
        <w:rPr>
          <w:bCs/>
          <w:b/>
        </w:rPr>
        <w:t xml:space="preserve">Deliverables:</w:t>
      </w:r>
      <w:r>
        <w:t xml:space="preserve"> </w:t>
      </w:r>
      <w:r>
        <w:t xml:space="preserve">- Assessment report (current-state documentation)</w:t>
      </w:r>
      <w:r>
        <w:t xml:space="preserve"> </w:t>
      </w:r>
      <w:r>
        <w:t xml:space="preserve">- Architecture blueprint (future-state design)</w:t>
      </w:r>
      <w:r>
        <w:t xml:space="preserve"> </w:t>
      </w:r>
      <w:r>
        <w:t xml:space="preserve">- Migration strategy document (rehost / refactor / rearchitect / rebuild decisions per application)</w:t>
      </w:r>
      <w:r>
        <w:t xml:space="preserve"> </w:t>
      </w:r>
      <w:r>
        <w:t xml:space="preserve">- Business case with ROI projections</w:t>
      </w:r>
      <w:r>
        <w:t xml:space="preserve"> </w:t>
      </w:r>
      <w:r>
        <w:t xml:space="preserve">- Risk register with mitigation strategies</w:t>
      </w:r>
    </w:p>
    <w:p>
      <w:pPr>
        <w:pStyle w:val="BodyText"/>
      </w:pPr>
      <w:r>
        <w:rPr>
          <w:bCs/>
          <w:b/>
        </w:rPr>
        <w:t xml:space="preserve">Gates:</w:t>
      </w:r>
      <w:r>
        <w:t xml:space="preserve"> </w:t>
      </w:r>
      <w:r>
        <w:t xml:space="preserve">- Executive alignment on future-state vision</w:t>
      </w:r>
      <w:r>
        <w:t xml:space="preserve"> </w:t>
      </w:r>
      <w:r>
        <w:t xml:space="preserve">- Approved business case</w:t>
      </w:r>
      <w:r>
        <w:t xml:space="preserve"> </w:t>
      </w:r>
      <w:r>
        <w:t xml:space="preserve">- Risk acceptance by steering committee</w:t>
      </w:r>
    </w:p>
    <w:bookmarkEnd w:id="33"/>
    <w:bookmarkStart w:id="34" w:name="phase-2-plan-weeks-5-8"/>
    <w:p>
      <w:pPr>
        <w:pStyle w:val="Heading3"/>
      </w:pPr>
      <w:r>
        <w:t xml:space="preserve">Phase 2: Plan (Weeks 5-8)</w:t>
      </w:r>
    </w:p>
    <w:p>
      <w:pPr>
        <w:pStyle w:val="FirstParagraph"/>
      </w:pPr>
      <w:r>
        <w:rPr>
          <w:bCs/>
          <w:b/>
        </w:rPr>
        <w:t xml:space="preserve">Objective</w:t>
      </w:r>
      <w:r>
        <w:t xml:space="preserve">: Create a detailed, actionable migration plan with resource allocation, timeline, and dependencies.</w:t>
      </w:r>
    </w:p>
    <w:p>
      <w:pPr>
        <w:pStyle w:val="BodyText"/>
      </w:pPr>
      <w:r>
        <w:rPr>
          <w:bCs/>
          <w:b/>
        </w:rPr>
        <w:t xml:space="preserve">Key Activities:</w:t>
      </w:r>
      <w:r>
        <w:t xml:space="preserve"> </w:t>
      </w:r>
      <w:r>
        <w:t xml:space="preserve">- Wave planning (which applications move when)</w:t>
      </w:r>
      <w:r>
        <w:t xml:space="preserve"> </w:t>
      </w:r>
      <w:r>
        <w:t xml:space="preserve">- Dependency mapping (technical + business)</w:t>
      </w:r>
      <w:r>
        <w:t xml:space="preserve"> </w:t>
      </w:r>
      <w:r>
        <w:t xml:space="preserve">- Resource allocation and team assembly</w:t>
      </w:r>
      <w:r>
        <w:t xml:space="preserve"> </w:t>
      </w:r>
      <w:r>
        <w:t xml:space="preserve">- Environment provisioning planning</w:t>
      </w:r>
      <w:r>
        <w:t xml:space="preserve"> </w:t>
      </w:r>
      <w:r>
        <w:t xml:space="preserve">- Data migration strategy refinement</w:t>
      </w:r>
      <w:r>
        <w:t xml:space="preserve"> </w:t>
      </w:r>
      <w:r>
        <w:t xml:space="preserve">- Communication plan development</w:t>
      </w:r>
      <w:r>
        <w:t xml:space="preserve"> </w:t>
      </w:r>
      <w:r>
        <w:t xml:space="preserve">- Change management kickoff</w:t>
      </w:r>
    </w:p>
    <w:p>
      <w:pPr>
        <w:pStyle w:val="BodyText"/>
      </w:pPr>
      <w:r>
        <w:rPr>
          <w:bCs/>
          <w:b/>
        </w:rPr>
        <w:t xml:space="preserve">Deliverables:</w:t>
      </w:r>
      <w:r>
        <w:t xml:space="preserve"> </w:t>
      </w:r>
      <w:r>
        <w:t xml:space="preserve">- Migration plan with wave schedule</w:t>
      </w:r>
      <w:r>
        <w:t xml:space="preserve"> </w:t>
      </w:r>
      <w:r>
        <w:t xml:space="preserve">- Resource plan with role assignments</w:t>
      </w:r>
      <w:r>
        <w:t xml:space="preserve"> </w:t>
      </w:r>
      <w:r>
        <w:t xml:space="preserve">- Environment provisioning runbook</w:t>
      </w:r>
      <w:r>
        <w:t xml:space="preserve"> </w:t>
      </w:r>
      <w:r>
        <w:t xml:space="preserve">- Data migration strategy document</w:t>
      </w:r>
      <w:r>
        <w:t xml:space="preserve"> </w:t>
      </w:r>
      <w:r>
        <w:t xml:space="preserve">- Communication and training plan</w:t>
      </w:r>
      <w:r>
        <w:t xml:space="preserve"> </w:t>
      </w:r>
      <w:r>
        <w:t xml:space="preserve">- Project charter (signed)</w:t>
      </w:r>
    </w:p>
    <w:p>
      <w:pPr>
        <w:pStyle w:val="BodyText"/>
      </w:pPr>
      <w:r>
        <w:rPr>
          <w:bCs/>
          <w:b/>
        </w:rPr>
        <w:t xml:space="preserve">Gates:</w:t>
      </w:r>
      <w:r>
        <w:t xml:space="preserve"> </w:t>
      </w:r>
      <w:r>
        <w:t xml:space="preserve">- Migration plan approved by steering committee</w:t>
      </w:r>
      <w:r>
        <w:t xml:space="preserve"> </w:t>
      </w:r>
      <w:r>
        <w:t xml:space="preserve">- Team mobilized and onboarded</w:t>
      </w:r>
      <w:r>
        <w:t xml:space="preserve"> </w:t>
      </w:r>
      <w:r>
        <w:t xml:space="preserve">- Environments ready for pilot</w:t>
      </w:r>
    </w:p>
    <w:bookmarkEnd w:id="34"/>
    <w:bookmarkStart w:id="35" w:name="phase-3-execute-weeks-9-20"/>
    <w:p>
      <w:pPr>
        <w:pStyle w:val="Heading3"/>
      </w:pPr>
      <w:r>
        <w:t xml:space="preserve">Phase 3: Execute (Weeks 9-20)</w:t>
      </w:r>
    </w:p>
    <w:p>
      <w:pPr>
        <w:pStyle w:val="FirstParagraph"/>
      </w:pPr>
      <w:r>
        <w:rPr>
          <w:bCs/>
          <w:b/>
        </w:rPr>
        <w:t xml:space="preserve">Objective</w:t>
      </w:r>
      <w:r>
        <w:t xml:space="preserve">: Execute the migration in planned waves, with continuous testing and validation.</w:t>
      </w:r>
    </w:p>
    <w:p>
      <w:pPr>
        <w:pStyle w:val="BodyText"/>
      </w:pPr>
      <w:r>
        <w:rPr>
          <w:bCs/>
          <w:b/>
        </w:rPr>
        <w:t xml:space="preserve">Key Activities:</w:t>
      </w:r>
      <w:r>
        <w:t xml:space="preserve"> </w:t>
      </w:r>
      <w:r>
        <w:t xml:space="preserve">- Infrastructure setup (landing zones, networking, security)</w:t>
      </w:r>
      <w:r>
        <w:t xml:space="preserve"> </w:t>
      </w:r>
      <w:r>
        <w:t xml:space="preserve">- Application migration (per wave plan)</w:t>
      </w:r>
      <w:r>
        <w:t xml:space="preserve"> </w:t>
      </w:r>
      <w:r>
        <w:t xml:space="preserve">- Data migration (extract, transform, load)</w:t>
      </w:r>
      <w:r>
        <w:t xml:space="preserve"> </w:t>
      </w:r>
      <w:r>
        <w:t xml:space="preserve">- Integration testing (system + user acceptance)</w:t>
      </w:r>
      <w:r>
        <w:t xml:space="preserve"> </w:t>
      </w:r>
      <w:r>
        <w:t xml:space="preserve">- Security validation and penetration testing</w:t>
      </w:r>
      <w:r>
        <w:t xml:space="preserve"> </w:t>
      </w:r>
      <w:r>
        <w:t xml:space="preserve">- Performance testing and optimization</w:t>
      </w:r>
      <w:r>
        <w:t xml:space="preserve"> </w:t>
      </w:r>
      <w:r>
        <w:t xml:space="preserve">- Training delivery (per wave)</w:t>
      </w:r>
    </w:p>
    <w:p>
      <w:pPr>
        <w:pStyle w:val="BodyText"/>
      </w:pPr>
      <w:r>
        <w:rPr>
          <w:bCs/>
          <w:b/>
        </w:rPr>
        <w:t xml:space="preserve">Deliverables:</w:t>
      </w:r>
      <w:r>
        <w:t xml:space="preserve"> </w:t>
      </w:r>
      <w:r>
        <w:t xml:space="preserve">- Migrated environment (per wave)</w:t>
      </w:r>
      <w:r>
        <w:t xml:space="preserve"> </w:t>
      </w:r>
      <w:r>
        <w:t xml:space="preserve">- Test results and sign-off</w:t>
      </w:r>
      <w:r>
        <w:t xml:space="preserve"> </w:t>
      </w:r>
      <w:r>
        <w:t xml:space="preserve">- Training materials and completion records</w:t>
      </w:r>
      <w:r>
        <w:t xml:space="preserve"> </w:t>
      </w:r>
      <w:r>
        <w:t xml:space="preserve">- Security validation report</w:t>
      </w:r>
      <w:r>
        <w:t xml:space="preserve"> </w:t>
      </w:r>
      <w:r>
        <w:t xml:space="preserve">- Performance benchmark report</w:t>
      </w:r>
      <w:r>
        <w:t xml:space="preserve"> </w:t>
      </w:r>
      <w:r>
        <w:t xml:space="preserve">- Wave completion retrospectives</w:t>
      </w:r>
    </w:p>
    <w:p>
      <w:pPr>
        <w:pStyle w:val="BodyText"/>
      </w:pPr>
      <w:r>
        <w:rPr>
          <w:bCs/>
          <w:b/>
        </w:rPr>
        <w:t xml:space="preserve">Gates:</w:t>
      </w:r>
      <w:r>
        <w:t xml:space="preserve"> </w:t>
      </w:r>
      <w:r>
        <w:t xml:space="preserve">- Each wave: UAT sign-off + security approval + performance acceptance</w:t>
      </w:r>
      <w:r>
        <w:t xml:space="preserve"> </w:t>
      </w:r>
      <w:r>
        <w:t xml:space="preserve">- Go/no-go decision for production cutover</w:t>
      </w:r>
    </w:p>
    <w:bookmarkEnd w:id="35"/>
    <w:bookmarkStart w:id="36" w:name="phase-4-optimize-weeks-21-24"/>
    <w:p>
      <w:pPr>
        <w:pStyle w:val="Heading3"/>
      </w:pPr>
      <w:r>
        <w:t xml:space="preserve">Phase 4: Optimize (Weeks 21-24)</w:t>
      </w:r>
    </w:p>
    <w:p>
      <w:pPr>
        <w:pStyle w:val="FirstParagraph"/>
      </w:pPr>
      <w:r>
        <w:rPr>
          <w:bCs/>
          <w:b/>
        </w:rPr>
        <w:t xml:space="preserve">Objective</w:t>
      </w:r>
      <w:r>
        <w:t xml:space="preserve">: Tune performance, transfer knowledge, and transition to steady-state operations.</w:t>
      </w:r>
    </w:p>
    <w:p>
      <w:pPr>
        <w:pStyle w:val="BodyText"/>
      </w:pPr>
      <w:r>
        <w:rPr>
          <w:bCs/>
          <w:b/>
        </w:rPr>
        <w:t xml:space="preserve">Key Activities:</w:t>
      </w:r>
      <w:r>
        <w:t xml:space="preserve"> </w:t>
      </w:r>
      <w:r>
        <w:t xml:space="preserve">- Performance tuning (cost + speed optimization)</w:t>
      </w:r>
      <w:r>
        <w:t xml:space="preserve"> </w:t>
      </w:r>
      <w:r>
        <w:t xml:space="preserve">- Knowledge transfer sessions (architecture, operations, troubleshooting)</w:t>
      </w:r>
      <w:r>
        <w:t xml:space="preserve"> </w:t>
      </w:r>
      <w:r>
        <w:t xml:space="preserve">- Documentation finalization (runbooks, architecture diagrams, SOPs)</w:t>
      </w:r>
      <w:r>
        <w:t xml:space="preserve"> </w:t>
      </w:r>
      <w:r>
        <w:t xml:space="preserve">- Support transition (to client team or managed services)</w:t>
      </w:r>
      <w:r>
        <w:t xml:space="preserve"> </w:t>
      </w:r>
      <w:r>
        <w:t xml:space="preserve">- Lessons learned workshop</w:t>
      </w:r>
      <w:r>
        <w:t xml:space="preserve"> </w:t>
      </w:r>
      <w:r>
        <w:t xml:space="preserve">- Project closure and financial reconciliation</w:t>
      </w:r>
    </w:p>
    <w:p>
      <w:pPr>
        <w:pStyle w:val="BodyText"/>
      </w:pPr>
      <w:r>
        <w:rPr>
          <w:bCs/>
          <w:b/>
        </w:rPr>
        <w:t xml:space="preserve">Deliverables:</w:t>
      </w:r>
      <w:r>
        <w:t xml:space="preserve"> </w:t>
      </w:r>
      <w:r>
        <w:t xml:space="preserve">- Optimized production environment</w:t>
      </w:r>
      <w:r>
        <w:t xml:space="preserve"> </w:t>
      </w:r>
      <w:r>
        <w:t xml:space="preserve">- Operations guide and runbooks</w:t>
      </w:r>
      <w:r>
        <w:t xml:space="preserve"> </w:t>
      </w:r>
      <w:r>
        <w:t xml:space="preserve">- Architecture documentation</w:t>
      </w:r>
      <w:r>
        <w:t xml:space="preserve"> </w:t>
      </w:r>
      <w:r>
        <w:t xml:space="preserve">- Support transition plan (signed)</w:t>
      </w:r>
      <w:r>
        <w:t xml:space="preserve"> </w:t>
      </w:r>
      <w:r>
        <w:t xml:space="preserve">- Lessons learned report</w:t>
      </w:r>
      <w:r>
        <w:t xml:space="preserve"> </w:t>
      </w:r>
      <w:r>
        <w:t xml:space="preserve">- Project closure report</w:t>
      </w:r>
    </w:p>
    <w:p>
      <w:pPr>
        <w:pStyle w:val="BodyText"/>
      </w:pPr>
      <w:r>
        <w:rPr>
          <w:bCs/>
          <w:b/>
        </w:rPr>
        <w:t xml:space="preserve">Gates:</w:t>
      </w:r>
      <w:r>
        <w:t xml:space="preserve"> </w:t>
      </w:r>
      <w:r>
        <w:t xml:space="preserve">- Client team demonstrates independent operation capability</w:t>
      </w:r>
      <w:r>
        <w:t xml:space="preserve"> </w:t>
      </w:r>
      <w:r>
        <w:t xml:space="preserve">- Support transition accepted</w:t>
      </w:r>
      <w:r>
        <w:t xml:space="preserve"> </w:t>
      </w:r>
      <w:r>
        <w:t xml:space="preserve">- Financial close complete</w:t>
      </w:r>
    </w:p>
    <w:bookmarkEnd w:id="36"/>
    <w:bookmarkEnd w:id="37"/>
    <w:bookmarkStart w:id="38" w:name="governance-model"/>
    <w:p>
      <w:pPr>
        <w:pStyle w:val="Heading2"/>
      </w:pPr>
      <w:r>
        <w:t xml:space="preserve">Governance Model</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Meeting</w:t>
            </w:r>
          </w:p>
        </w:tc>
        <w:tc>
          <w:tcPr/>
          <w:p>
            <w:pPr>
              <w:pStyle w:val="Compact"/>
              <w:jc w:val="left"/>
            </w:pPr>
            <w:r>
              <w:t xml:space="preserve">Frequency</w:t>
            </w:r>
          </w:p>
        </w:tc>
        <w:tc>
          <w:tcPr/>
          <w:p>
            <w:pPr>
              <w:pStyle w:val="Compact"/>
              <w:jc w:val="left"/>
            </w:pPr>
            <w:r>
              <w:t xml:space="preserve">Attendees</w:t>
            </w:r>
          </w:p>
        </w:tc>
        <w:tc>
          <w:tcPr/>
          <w:p>
            <w:pPr>
              <w:pStyle w:val="Compact"/>
              <w:jc w:val="left"/>
            </w:pPr>
            <w:r>
              <w:t xml:space="preserve">Purpose</w:t>
            </w:r>
          </w:p>
        </w:tc>
      </w:tr>
      <w:tr>
        <w:tc>
          <w:tcPr/>
          <w:p>
            <w:pPr>
              <w:pStyle w:val="Compact"/>
              <w:jc w:val="left"/>
            </w:pPr>
            <w:r>
              <w:t xml:space="preserve">Daily Standup</w:t>
            </w:r>
          </w:p>
        </w:tc>
        <w:tc>
          <w:tcPr/>
          <w:p>
            <w:pPr>
              <w:pStyle w:val="Compact"/>
              <w:jc w:val="left"/>
            </w:pPr>
            <w:r>
              <w:t xml:space="preserve">Daily</w:t>
            </w:r>
          </w:p>
        </w:tc>
        <w:tc>
          <w:tcPr/>
          <w:p>
            <w:pPr>
              <w:pStyle w:val="Compact"/>
              <w:jc w:val="left"/>
            </w:pPr>
            <w:r>
              <w:t xml:space="preserve">Core team</w:t>
            </w:r>
          </w:p>
        </w:tc>
        <w:tc>
          <w:tcPr/>
          <w:p>
            <w:pPr>
              <w:pStyle w:val="Compact"/>
              <w:jc w:val="left"/>
            </w:pPr>
            <w:r>
              <w:t xml:space="preserve">Blocker resolution, task coordination</w:t>
            </w:r>
          </w:p>
        </w:tc>
      </w:tr>
      <w:tr>
        <w:tc>
          <w:tcPr/>
          <w:p>
            <w:pPr>
              <w:pStyle w:val="Compact"/>
              <w:jc w:val="left"/>
            </w:pPr>
            <w:r>
              <w:t xml:space="preserve">Sprint Planning</w:t>
            </w:r>
          </w:p>
        </w:tc>
        <w:tc>
          <w:tcPr/>
          <w:p>
            <w:pPr>
              <w:pStyle w:val="Compact"/>
              <w:jc w:val="left"/>
            </w:pPr>
            <w:r>
              <w:t xml:space="preserve">Bi-weekly</w:t>
            </w:r>
          </w:p>
        </w:tc>
        <w:tc>
          <w:tcPr/>
          <w:p>
            <w:pPr>
              <w:pStyle w:val="Compact"/>
              <w:jc w:val="left"/>
            </w:pPr>
            <w:r>
              <w:t xml:space="preserve">Team leads</w:t>
            </w:r>
          </w:p>
        </w:tc>
        <w:tc>
          <w:tcPr/>
          <w:p>
            <w:pPr>
              <w:pStyle w:val="Compact"/>
              <w:jc w:val="left"/>
            </w:pPr>
            <w:r>
              <w:t xml:space="preserve">Iteration planning, capacity check</w:t>
            </w:r>
          </w:p>
        </w:tc>
      </w:tr>
      <w:tr>
        <w:tc>
          <w:tcPr/>
          <w:p>
            <w:pPr>
              <w:pStyle w:val="Compact"/>
              <w:jc w:val="left"/>
            </w:pPr>
            <w:r>
              <w:t xml:space="preserve">Architecture Review</w:t>
            </w:r>
          </w:p>
        </w:tc>
        <w:tc>
          <w:tcPr/>
          <w:p>
            <w:pPr>
              <w:pStyle w:val="Compact"/>
              <w:jc w:val="left"/>
            </w:pPr>
            <w:r>
              <w:t xml:space="preserve">Weekly</w:t>
            </w:r>
          </w:p>
        </w:tc>
        <w:tc>
          <w:tcPr/>
          <w:p>
            <w:pPr>
              <w:pStyle w:val="Compact"/>
              <w:jc w:val="left"/>
            </w:pPr>
            <w:r>
              <w:t xml:space="preserve">Architects, SMEs</w:t>
            </w:r>
          </w:p>
        </w:tc>
        <w:tc>
          <w:tcPr/>
          <w:p>
            <w:pPr>
              <w:pStyle w:val="Compact"/>
              <w:jc w:val="left"/>
            </w:pPr>
            <w:r>
              <w:t xml:space="preserve">Technical decisions, pattern alignment</w:t>
            </w:r>
          </w:p>
        </w:tc>
      </w:tr>
      <w:tr>
        <w:tc>
          <w:tcPr/>
          <w:p>
            <w:pPr>
              <w:pStyle w:val="Compact"/>
              <w:jc w:val="left"/>
            </w:pPr>
            <w:r>
              <w:t xml:space="preserve">Steering Committee</w:t>
            </w:r>
          </w:p>
        </w:tc>
        <w:tc>
          <w:tcPr/>
          <w:p>
            <w:pPr>
              <w:pStyle w:val="Compact"/>
              <w:jc w:val="left"/>
            </w:pPr>
            <w:r>
              <w:t xml:space="preserve">Monthly</w:t>
            </w:r>
          </w:p>
        </w:tc>
        <w:tc>
          <w:tcPr/>
          <w:p>
            <w:pPr>
              <w:pStyle w:val="Compact"/>
              <w:jc w:val="left"/>
            </w:pPr>
            <w:r>
              <w:t xml:space="preserve">Client executives, Apex leadership</w:t>
            </w:r>
          </w:p>
        </w:tc>
        <w:tc>
          <w:tcPr/>
          <w:p>
            <w:pPr>
              <w:pStyle w:val="Compact"/>
              <w:jc w:val="left"/>
            </w:pPr>
            <w:r>
              <w:t xml:space="preserve">Strategic decisions, risk escalation</w:t>
            </w:r>
          </w:p>
        </w:tc>
      </w:tr>
      <w:tr>
        <w:tc>
          <w:tcPr/>
          <w:p>
            <w:pPr>
              <w:pStyle w:val="Compact"/>
              <w:jc w:val="left"/>
            </w:pPr>
            <w:r>
              <w:t xml:space="preserve">Wave Retrospective</w:t>
            </w:r>
          </w:p>
        </w:tc>
        <w:tc>
          <w:tcPr/>
          <w:p>
            <w:pPr>
              <w:pStyle w:val="Compact"/>
              <w:jc w:val="left"/>
            </w:pPr>
            <w:r>
              <w:t xml:space="preserve">Per wave</w:t>
            </w:r>
          </w:p>
        </w:tc>
        <w:tc>
          <w:tcPr/>
          <w:p>
            <w:pPr>
              <w:pStyle w:val="Compact"/>
              <w:jc w:val="left"/>
            </w:pPr>
            <w:r>
              <w:t xml:space="preserve">Core team + stakeholders</w:t>
            </w:r>
          </w:p>
        </w:tc>
        <w:tc>
          <w:tcPr/>
          <w:p>
            <w:pPr>
              <w:pStyle w:val="Compact"/>
              <w:jc w:val="left"/>
            </w:pPr>
            <w:r>
              <w:t xml:space="preserve">Continuous improvement</w:t>
            </w:r>
          </w:p>
        </w:tc>
      </w:tr>
    </w:tbl>
    <w:bookmarkEnd w:id="38"/>
    <w:bookmarkStart w:id="40" w:name="risk-management"/>
    <w:p>
      <w:pPr>
        <w:pStyle w:val="Heading2"/>
      </w:pPr>
      <w:r>
        <w:t xml:space="preserve">Risk Management</w:t>
      </w:r>
    </w:p>
    <w:p>
      <w:pPr>
        <w:pStyle w:val="FirstParagraph"/>
      </w:pPr>
      <w:r>
        <w:t xml:space="preserve">We classify risks into four categories:</w:t>
      </w:r>
    </w:p>
    <w:p>
      <w:pPr>
        <w:numPr>
          <w:ilvl w:val="0"/>
          <w:numId w:val="1005"/>
        </w:numPr>
        <w:pStyle w:val="Compact"/>
      </w:pPr>
      <w:r>
        <w:rPr>
          <w:bCs/>
          <w:b/>
        </w:rPr>
        <w:t xml:space="preserve">Technical Risks</w:t>
      </w:r>
      <w:r>
        <w:t xml:space="preserve"> </w:t>
      </w:r>
      <w:r>
        <w:t xml:space="preserve">— Performance, integration complexity, data quality</w:t>
      </w:r>
    </w:p>
    <w:p>
      <w:pPr>
        <w:numPr>
          <w:ilvl w:val="0"/>
          <w:numId w:val="1005"/>
        </w:numPr>
        <w:pStyle w:val="Compact"/>
      </w:pPr>
      <w:r>
        <w:rPr>
          <w:bCs/>
          <w:b/>
        </w:rPr>
        <w:t xml:space="preserve">Organizational Risks</w:t>
      </w:r>
      <w:r>
        <w:t xml:space="preserve"> </w:t>
      </w:r>
      <w:r>
        <w:t xml:space="preserve">— Change resistance, skill gaps, stakeholder turnover</w:t>
      </w:r>
    </w:p>
    <w:p>
      <w:pPr>
        <w:numPr>
          <w:ilvl w:val="0"/>
          <w:numId w:val="1005"/>
        </w:numPr>
        <w:pStyle w:val="Compact"/>
      </w:pPr>
      <w:r>
        <w:rPr>
          <w:bCs/>
          <w:b/>
        </w:rPr>
        <w:t xml:space="preserve">External Risks</w:t>
      </w:r>
      <w:r>
        <w:t xml:space="preserve"> </w:t>
      </w:r>
      <w:r>
        <w:t xml:space="preserve">— Vendor delays, regulatory changes, market conditions</w:t>
      </w:r>
    </w:p>
    <w:p>
      <w:pPr>
        <w:numPr>
          <w:ilvl w:val="0"/>
          <w:numId w:val="1005"/>
        </w:numPr>
        <w:pStyle w:val="Compact"/>
      </w:pPr>
      <w:r>
        <w:rPr>
          <w:bCs/>
          <w:b/>
        </w:rPr>
        <w:t xml:space="preserve">Project Risks</w:t>
      </w:r>
      <w:r>
        <w:t xml:space="preserve"> </w:t>
      </w:r>
      <w:r>
        <w:t xml:space="preserve">— Scope creep, resource availability, budget constraints</w:t>
      </w:r>
    </w:p>
    <w:p>
      <w:pPr>
        <w:pStyle w:val="FirstParagraph"/>
      </w:pPr>
      <w:r>
        <w:t xml:space="preserve">Each risk is scored (1-5) for probability and impact, with mitigation plans for scores ≥ 12.</w:t>
      </w:r>
    </w:p>
    <w:bookmarkStart w:id="39" w:name="phase-summary"/>
    <w:p>
      <w:pPr>
        <w:pStyle w:val="Heading3"/>
      </w:pPr>
      <w:r>
        <w:t xml:space="preserve">Phase Summary</w:t>
      </w:r>
    </w:p>
    <w:tbl>
      <w:tblPr>
        <w:tblStyle w:val="Table"/>
        <w:tblW w:type="pct" w:w="5000"/>
        <w:tblLook w:firstRow="1" w:lastRow="0" w:firstColumn="0" w:lastColumn="0" w:noHBand="0" w:noVBand="0" w:val="0020"/>
        <w:jc w:val="start"/>
      </w:tblPr>
      <w:tblGrid>
        <w:gridCol w:w="1087"/>
        <w:gridCol w:w="1552"/>
        <w:gridCol w:w="2484"/>
        <w:gridCol w:w="2795"/>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Activities</w:t>
            </w:r>
          </w:p>
        </w:tc>
        <w:tc>
          <w:tcPr/>
          <w:p>
            <w:pPr>
              <w:pStyle w:val="Compact"/>
              <w:jc w:val="left"/>
            </w:pPr>
            <w:r>
              <w:t xml:space="preserve">Key Deliverables</w:t>
            </w:r>
          </w:p>
        </w:tc>
      </w:tr>
      <w:tr>
        <w:tc>
          <w:tcPr/>
          <w:p>
            <w:pPr>
              <w:pStyle w:val="Compact"/>
              <w:jc w:val="left"/>
            </w:pPr>
            <w:r>
              <w:t xml:space="preserve">Discover</w:t>
            </w:r>
          </w:p>
        </w:tc>
        <w:tc>
          <w:tcPr/>
          <w:p>
            <w:pPr>
              <w:pStyle w:val="Compact"/>
              <w:jc w:val="left"/>
            </w:pPr>
            <w:r>
              <w:t xml:space="preserve">4 weeks</w:t>
            </w:r>
          </w:p>
        </w:tc>
        <w:tc>
          <w:tcPr/>
          <w:p>
            <w:pPr>
              <w:pStyle w:val="Compact"/>
              <w:jc w:val="left"/>
            </w:pPr>
            <w:r>
              <w:t xml:space="preserve">Assessment, stakeholder interviews, future-state design</w:t>
            </w:r>
          </w:p>
        </w:tc>
        <w:tc>
          <w:tcPr/>
          <w:p>
            <w:pPr>
              <w:pStyle w:val="Compact"/>
              <w:jc w:val="left"/>
            </w:pPr>
            <w:r>
              <w:t xml:space="preserve">Assessment report, architecture blueprint</w:t>
            </w:r>
          </w:p>
        </w:tc>
      </w:tr>
      <w:tr>
        <w:tc>
          <w:tcPr/>
          <w:p>
            <w:pPr>
              <w:pStyle w:val="Compact"/>
              <w:jc w:val="left"/>
            </w:pPr>
            <w:r>
              <w:t xml:space="preserve">Plan</w:t>
            </w:r>
          </w:p>
        </w:tc>
        <w:tc>
          <w:tcPr/>
          <w:p>
            <w:pPr>
              <w:pStyle w:val="Compact"/>
              <w:jc w:val="left"/>
            </w:pPr>
            <w:r>
              <w:t xml:space="preserve">4 weeks</w:t>
            </w:r>
          </w:p>
        </w:tc>
        <w:tc>
          <w:tcPr/>
          <w:p>
            <w:pPr>
              <w:pStyle w:val="Compact"/>
              <w:jc w:val="left"/>
            </w:pPr>
            <w:r>
              <w:t xml:space="preserve">Migration planning, resource allocation, risk assessment</w:t>
            </w:r>
          </w:p>
        </w:tc>
        <w:tc>
          <w:tcPr/>
          <w:p>
            <w:pPr>
              <w:pStyle w:val="Compact"/>
              <w:jc w:val="left"/>
            </w:pPr>
            <w:r>
              <w:t xml:space="preserve">Migration plan, project charter</w:t>
            </w:r>
          </w:p>
        </w:tc>
      </w:tr>
      <w:tr>
        <w:tc>
          <w:tcPr/>
          <w:p>
            <w:pPr>
              <w:pStyle w:val="Compact"/>
              <w:jc w:val="left"/>
            </w:pPr>
            <w:r>
              <w:t xml:space="preserve">Execute</w:t>
            </w:r>
          </w:p>
        </w:tc>
        <w:tc>
          <w:tcPr/>
          <w:p>
            <w:pPr>
              <w:pStyle w:val="Compact"/>
              <w:jc w:val="left"/>
            </w:pPr>
            <w:r>
              <w:t xml:space="preserve">12 weeks</w:t>
            </w:r>
          </w:p>
        </w:tc>
        <w:tc>
          <w:tcPr/>
          <w:p>
            <w:pPr>
              <w:pStyle w:val="Compact"/>
              <w:jc w:val="left"/>
            </w:pPr>
            <w:r>
              <w:t xml:space="preserve">Implementation, testing, training</w:t>
            </w:r>
          </w:p>
        </w:tc>
        <w:tc>
          <w:tcPr/>
          <w:p>
            <w:pPr>
              <w:pStyle w:val="Compact"/>
              <w:jc w:val="left"/>
            </w:pPr>
            <w:r>
              <w:t xml:space="preserve">Migrated environment, test results</w:t>
            </w:r>
          </w:p>
        </w:tc>
      </w:tr>
      <w:tr>
        <w:tc>
          <w:tcPr/>
          <w:p>
            <w:pPr>
              <w:pStyle w:val="Compact"/>
              <w:jc w:val="left"/>
            </w:pPr>
            <w:r>
              <w:t xml:space="preserve">Optimize</w:t>
            </w:r>
          </w:p>
        </w:tc>
        <w:tc>
          <w:tcPr/>
          <w:p>
            <w:pPr>
              <w:pStyle w:val="Compact"/>
              <w:jc w:val="left"/>
            </w:pPr>
            <w:r>
              <w:t xml:space="preserve">4 weeks</w:t>
            </w:r>
          </w:p>
        </w:tc>
        <w:tc>
          <w:tcPr/>
          <w:p>
            <w:pPr>
              <w:pStyle w:val="Compact"/>
              <w:jc w:val="left"/>
            </w:pPr>
            <w:r>
              <w:t xml:space="preserve">Performance tuning, knowledge transfer, documentation</w:t>
            </w:r>
          </w:p>
        </w:tc>
        <w:tc>
          <w:tcPr/>
          <w:p>
            <w:pPr>
              <w:pStyle w:val="Compact"/>
              <w:jc w:val="left"/>
            </w:pPr>
            <w:r>
              <w:t xml:space="preserve">Operations guide, support transition</w:t>
            </w:r>
          </w:p>
        </w:tc>
      </w:tr>
    </w:tbl>
    <w:p>
      <w:r>
        <w:pict>
          <v:rect style="width:0;height:1.5pt" o:hralign="center" o:hrstd="t" o:hr="t"/>
        </w:pict>
      </w:r>
    </w:p>
    <w:bookmarkEnd w:id="39"/>
    <w:bookmarkEnd w:id="40"/>
    <w:bookmarkStart w:id="41" w:name="project-team"/>
    <w:p>
      <w:pPr>
        <w:pStyle w:val="Heading2"/>
      </w:pPr>
      <w:r>
        <w:t xml:space="preserve">Project Team</w:t>
      </w:r>
    </w:p>
    <w:bookmarkEnd w:id="41"/>
    <w:bookmarkEnd w:id="42"/>
    <w:bookmarkStart w:id="53" w:name="team-template-cloud-migration"/>
    <w:p>
      <w:pPr>
        <w:pStyle w:val="Heading1"/>
      </w:pPr>
      <w:r>
        <w:t xml:space="preserve">Team Template: Cloud Migration</w:t>
      </w:r>
    </w:p>
    <w:bookmarkStart w:id="49" w:name="team-composition"/>
    <w:p>
      <w:pPr>
        <w:pStyle w:val="Heading2"/>
      </w:pPr>
      <w:r>
        <w:t xml:space="preserve">Team Composition</w:t>
      </w:r>
    </w:p>
    <w:bookmarkStart w:id="43" w:name="engagement-manager-1-fte-50"/>
    <w:p>
      <w:pPr>
        <w:pStyle w:val="Heading3"/>
      </w:pPr>
      <w:r>
        <w:t xml:space="preserve">Engagement Manager (1 FTE @ 50%)</w:t>
      </w:r>
    </w:p>
    <w:p>
      <w:pPr>
        <w:pStyle w:val="FirstParagraph"/>
      </w:pPr>
      <w:r>
        <w:rPr>
          <w:bCs/>
          <w:b/>
        </w:rPr>
        <w:t xml:space="preserve">Rate</w:t>
      </w:r>
      <w:r>
        <w:t xml:space="preserve">: $1,800/day |</w:t>
      </w:r>
      <w:r>
        <w:t xml:space="preserve"> </w:t>
      </w:r>
      <w:r>
        <w:rPr>
          <w:bCs/>
          <w:b/>
        </w:rPr>
        <w:t xml:space="preserve">Allocation</w:t>
      </w:r>
      <w:r>
        <w:t xml:space="preserve">: 50% (2 days/week)</w:t>
      </w:r>
    </w:p>
    <w:p>
      <w:pPr>
        <w:numPr>
          <w:ilvl w:val="0"/>
          <w:numId w:val="1006"/>
        </w:numPr>
        <w:pStyle w:val="Compact"/>
      </w:pPr>
      <w:r>
        <w:t xml:space="preserve">Project oversight and governance</w:t>
      </w:r>
    </w:p>
    <w:p>
      <w:pPr>
        <w:numPr>
          <w:ilvl w:val="0"/>
          <w:numId w:val="1006"/>
        </w:numPr>
        <w:pStyle w:val="Compact"/>
      </w:pPr>
      <w:r>
        <w:t xml:space="preserve">Executive stakeholder management</w:t>
      </w:r>
    </w:p>
    <w:p>
      <w:pPr>
        <w:numPr>
          <w:ilvl w:val="0"/>
          <w:numId w:val="1006"/>
        </w:numPr>
        <w:pStyle w:val="Compact"/>
      </w:pPr>
      <w:r>
        <w:t xml:space="preserve">Risk and issue escalation</w:t>
      </w:r>
    </w:p>
    <w:p>
      <w:pPr>
        <w:numPr>
          <w:ilvl w:val="0"/>
          <w:numId w:val="1006"/>
        </w:numPr>
        <w:pStyle w:val="Compact"/>
      </w:pPr>
      <w:r>
        <w:t xml:space="preserve">Budget tracking and reporting</w:t>
      </w:r>
    </w:p>
    <w:p>
      <w:pPr>
        <w:numPr>
          <w:ilvl w:val="0"/>
          <w:numId w:val="1006"/>
        </w:numPr>
        <w:pStyle w:val="Compact"/>
      </w:pPr>
      <w:r>
        <w:t xml:space="preserve">Steering committee facilitation</w:t>
      </w:r>
    </w:p>
    <w:bookmarkEnd w:id="43"/>
    <w:bookmarkStart w:id="44" w:name="solution-architect-1-fte-100"/>
    <w:p>
      <w:pPr>
        <w:pStyle w:val="Heading3"/>
      </w:pPr>
      <w:r>
        <w:t xml:space="preserve">Solution Architect (1 FTE @ 100%)</w:t>
      </w:r>
    </w:p>
    <w:p>
      <w:pPr>
        <w:pStyle w:val="FirstParagraph"/>
      </w:pPr>
      <w:r>
        <w:rPr>
          <w:bCs/>
          <w:b/>
        </w:rPr>
        <w:t xml:space="preserve">Rate</w:t>
      </w:r>
      <w:r>
        <w:t xml:space="preserve">: $1,600/day |</w:t>
      </w:r>
      <w:r>
        <w:t xml:space="preserve"> </w:t>
      </w:r>
      <w:r>
        <w:rPr>
          <w:bCs/>
          <w:b/>
        </w:rPr>
        <w:t xml:space="preserve">Allocation</w:t>
      </w:r>
      <w:r>
        <w:t xml:space="preserve">: Full-time</w:t>
      </w:r>
    </w:p>
    <w:p>
      <w:pPr>
        <w:numPr>
          <w:ilvl w:val="0"/>
          <w:numId w:val="1007"/>
        </w:numPr>
        <w:pStyle w:val="Compact"/>
      </w:pPr>
      <w:r>
        <w:t xml:space="preserve">Target architecture design</w:t>
      </w:r>
    </w:p>
    <w:p>
      <w:pPr>
        <w:numPr>
          <w:ilvl w:val="0"/>
          <w:numId w:val="1007"/>
        </w:numPr>
        <w:pStyle w:val="Compact"/>
      </w:pPr>
      <w:r>
        <w:t xml:space="preserve">Cloud platform selection and configuration</w:t>
      </w:r>
    </w:p>
    <w:p>
      <w:pPr>
        <w:numPr>
          <w:ilvl w:val="0"/>
          <w:numId w:val="1007"/>
        </w:numPr>
        <w:pStyle w:val="Compact"/>
      </w:pPr>
      <w:r>
        <w:t xml:space="preserve">Integration pattern definition</w:t>
      </w:r>
    </w:p>
    <w:p>
      <w:pPr>
        <w:numPr>
          <w:ilvl w:val="0"/>
          <w:numId w:val="1007"/>
        </w:numPr>
        <w:pStyle w:val="Compact"/>
      </w:pPr>
      <w:r>
        <w:t xml:space="preserve">Technical decision authority</w:t>
      </w:r>
    </w:p>
    <w:p>
      <w:pPr>
        <w:numPr>
          <w:ilvl w:val="0"/>
          <w:numId w:val="1007"/>
        </w:numPr>
        <w:pStyle w:val="Compact"/>
      </w:pPr>
      <w:r>
        <w:t xml:space="preserve">Proof-of-concept leadership</w:t>
      </w:r>
    </w:p>
    <w:bookmarkEnd w:id="44"/>
    <w:bookmarkStart w:id="45" w:name="X9cec121758244e0b4b356d3ead67e884c5874cb"/>
    <w:p>
      <w:pPr>
        <w:pStyle w:val="Heading3"/>
      </w:pPr>
      <w:r>
        <w:t xml:space="preserve">Senior Consultant — Infrastructure (2 FTE @ 100%)</w:t>
      </w:r>
    </w:p>
    <w:p>
      <w:pPr>
        <w:pStyle w:val="FirstParagraph"/>
      </w:pPr>
      <w:r>
        <w:rPr>
          <w:bCs/>
          <w:b/>
        </w:rPr>
        <w:t xml:space="preserve">Rate</w:t>
      </w:r>
      <w:r>
        <w:t xml:space="preserve">: $1,400/day |</w:t>
      </w:r>
      <w:r>
        <w:t xml:space="preserve"> </w:t>
      </w:r>
      <w:r>
        <w:rPr>
          <w:bCs/>
          <w:b/>
        </w:rPr>
        <w:t xml:space="preserve">Allocation</w:t>
      </w:r>
      <w:r>
        <w:t xml:space="preserve">: Full-time</w:t>
      </w:r>
    </w:p>
    <w:p>
      <w:pPr>
        <w:numPr>
          <w:ilvl w:val="0"/>
          <w:numId w:val="1008"/>
        </w:numPr>
        <w:pStyle w:val="Compact"/>
      </w:pPr>
      <w:r>
        <w:t xml:space="preserve">Cloud environment provisioning</w:t>
      </w:r>
    </w:p>
    <w:p>
      <w:pPr>
        <w:numPr>
          <w:ilvl w:val="0"/>
          <w:numId w:val="1008"/>
        </w:numPr>
        <w:pStyle w:val="Compact"/>
      </w:pPr>
      <w:r>
        <w:t xml:space="preserve">Network architecture implementation</w:t>
      </w:r>
    </w:p>
    <w:p>
      <w:pPr>
        <w:numPr>
          <w:ilvl w:val="0"/>
          <w:numId w:val="1008"/>
        </w:numPr>
        <w:pStyle w:val="Compact"/>
      </w:pPr>
      <w:r>
        <w:t xml:space="preserve">Security baseline configuration</w:t>
      </w:r>
    </w:p>
    <w:p>
      <w:pPr>
        <w:numPr>
          <w:ilvl w:val="0"/>
          <w:numId w:val="1008"/>
        </w:numPr>
        <w:pStyle w:val="Compact"/>
      </w:pPr>
      <w:r>
        <w:t xml:space="preserve">Infrastructure-as-Code development</w:t>
      </w:r>
    </w:p>
    <w:p>
      <w:pPr>
        <w:numPr>
          <w:ilvl w:val="0"/>
          <w:numId w:val="1008"/>
        </w:numPr>
        <w:pStyle w:val="Compact"/>
      </w:pPr>
      <w:r>
        <w:t xml:space="preserve">Performance benchmarking</w:t>
      </w:r>
    </w:p>
    <w:bookmarkEnd w:id="45"/>
    <w:bookmarkStart w:id="46" w:name="consultant-application-2-fte-100"/>
    <w:p>
      <w:pPr>
        <w:pStyle w:val="Heading3"/>
      </w:pPr>
      <w:r>
        <w:t xml:space="preserve">Consultant — Application (2 FTE @ 100%)</w:t>
      </w:r>
    </w:p>
    <w:p>
      <w:pPr>
        <w:pStyle w:val="FirstParagraph"/>
      </w:pPr>
      <w:r>
        <w:rPr>
          <w:bCs/>
          <w:b/>
        </w:rPr>
        <w:t xml:space="preserve">Rate</w:t>
      </w:r>
      <w:r>
        <w:t xml:space="preserve">: $1,100/day |</w:t>
      </w:r>
      <w:r>
        <w:t xml:space="preserve"> </w:t>
      </w:r>
      <w:r>
        <w:rPr>
          <w:bCs/>
          <w:b/>
        </w:rPr>
        <w:t xml:space="preserve">Allocation</w:t>
      </w:r>
      <w:r>
        <w:t xml:space="preserve">: Full-time</w:t>
      </w:r>
    </w:p>
    <w:p>
      <w:pPr>
        <w:numPr>
          <w:ilvl w:val="0"/>
          <w:numId w:val="1009"/>
        </w:numPr>
        <w:pStyle w:val="Compact"/>
      </w:pPr>
      <w:r>
        <w:t xml:space="preserve">Application assessment and refactoring</w:t>
      </w:r>
    </w:p>
    <w:p>
      <w:pPr>
        <w:numPr>
          <w:ilvl w:val="0"/>
          <w:numId w:val="1009"/>
        </w:numPr>
        <w:pStyle w:val="Compact"/>
      </w:pPr>
      <w:r>
        <w:t xml:space="preserve">Containerization and orchestration</w:t>
      </w:r>
    </w:p>
    <w:p>
      <w:pPr>
        <w:numPr>
          <w:ilvl w:val="0"/>
          <w:numId w:val="1009"/>
        </w:numPr>
        <w:pStyle w:val="Compact"/>
      </w:pPr>
      <w:r>
        <w:t xml:space="preserve">CI/CD pipeline development</w:t>
      </w:r>
    </w:p>
    <w:p>
      <w:pPr>
        <w:numPr>
          <w:ilvl w:val="0"/>
          <w:numId w:val="1009"/>
        </w:numPr>
        <w:pStyle w:val="Compact"/>
      </w:pPr>
      <w:r>
        <w:t xml:space="preserve">Code modernization</w:t>
      </w:r>
    </w:p>
    <w:p>
      <w:pPr>
        <w:numPr>
          <w:ilvl w:val="0"/>
          <w:numId w:val="1009"/>
        </w:numPr>
        <w:pStyle w:val="Compact"/>
      </w:pPr>
      <w:r>
        <w:t xml:space="preserve">Testing strategy execution</w:t>
      </w:r>
    </w:p>
    <w:bookmarkEnd w:id="46"/>
    <w:bookmarkStart w:id="47" w:name="analyst-data-migration-1-fte-100"/>
    <w:p>
      <w:pPr>
        <w:pStyle w:val="Heading3"/>
      </w:pPr>
      <w:r>
        <w:t xml:space="preserve">Analyst — Data Migration (1 FTE @ 100%)</w:t>
      </w:r>
    </w:p>
    <w:p>
      <w:pPr>
        <w:pStyle w:val="FirstParagraph"/>
      </w:pPr>
      <w:r>
        <w:rPr>
          <w:bCs/>
          <w:b/>
        </w:rPr>
        <w:t xml:space="preserve">Rate</w:t>
      </w:r>
      <w:r>
        <w:t xml:space="preserve">: $800/day |</w:t>
      </w:r>
      <w:r>
        <w:t xml:space="preserve"> </w:t>
      </w:r>
      <w:r>
        <w:rPr>
          <w:bCs/>
          <w:b/>
        </w:rPr>
        <w:t xml:space="preserve">Allocation</w:t>
      </w:r>
      <w:r>
        <w:t xml:space="preserve">: Full-time</w:t>
      </w:r>
    </w:p>
    <w:p>
      <w:pPr>
        <w:numPr>
          <w:ilvl w:val="0"/>
          <w:numId w:val="1010"/>
        </w:numPr>
        <w:pStyle w:val="Compact"/>
      </w:pPr>
      <w:r>
        <w:t xml:space="preserve">Data profiling and cleansing</w:t>
      </w:r>
    </w:p>
    <w:p>
      <w:pPr>
        <w:numPr>
          <w:ilvl w:val="0"/>
          <w:numId w:val="1010"/>
        </w:numPr>
        <w:pStyle w:val="Compact"/>
      </w:pPr>
      <w:r>
        <w:t xml:space="preserve">ETL/ELT pipeline development</w:t>
      </w:r>
    </w:p>
    <w:p>
      <w:pPr>
        <w:numPr>
          <w:ilvl w:val="0"/>
          <w:numId w:val="1010"/>
        </w:numPr>
        <w:pStyle w:val="Compact"/>
      </w:pPr>
      <w:r>
        <w:t xml:space="preserve">Data validation and reconciliation</w:t>
      </w:r>
    </w:p>
    <w:p>
      <w:pPr>
        <w:numPr>
          <w:ilvl w:val="0"/>
          <w:numId w:val="1010"/>
        </w:numPr>
        <w:pStyle w:val="Compact"/>
      </w:pPr>
      <w:r>
        <w:t xml:space="preserve">Cutover planning and execution</w:t>
      </w:r>
    </w:p>
    <w:p>
      <w:pPr>
        <w:numPr>
          <w:ilvl w:val="0"/>
          <w:numId w:val="1010"/>
        </w:numPr>
        <w:pStyle w:val="Compact"/>
      </w:pPr>
      <w:r>
        <w:t xml:space="preserve">Post-migration verification</w:t>
      </w:r>
    </w:p>
    <w:bookmarkEnd w:id="47"/>
    <w:bookmarkStart w:id="48" w:name="devops-engineer-1-fte-100"/>
    <w:p>
      <w:pPr>
        <w:pStyle w:val="Heading3"/>
      </w:pPr>
      <w:r>
        <w:t xml:space="preserve">DevOps Engineer (1 FTE @ 100%)</w:t>
      </w:r>
    </w:p>
    <w:p>
      <w:pPr>
        <w:pStyle w:val="FirstParagraph"/>
      </w:pPr>
      <w:r>
        <w:rPr>
          <w:bCs/>
          <w:b/>
        </w:rPr>
        <w:t xml:space="preserve">Rate</w:t>
      </w:r>
      <w:r>
        <w:t xml:space="preserve">: $1,200/day |</w:t>
      </w:r>
      <w:r>
        <w:t xml:space="preserve"> </w:t>
      </w:r>
      <w:r>
        <w:rPr>
          <w:bCs/>
          <w:b/>
        </w:rPr>
        <w:t xml:space="preserve">Allocation</w:t>
      </w:r>
      <w:r>
        <w:t xml:space="preserve">: Full-time</w:t>
      </w:r>
    </w:p>
    <w:p>
      <w:pPr>
        <w:numPr>
          <w:ilvl w:val="0"/>
          <w:numId w:val="1011"/>
        </w:numPr>
        <w:pStyle w:val="Compact"/>
      </w:pPr>
      <w:r>
        <w:t xml:space="preserve">Automation framework development</w:t>
      </w:r>
    </w:p>
    <w:p>
      <w:pPr>
        <w:numPr>
          <w:ilvl w:val="0"/>
          <w:numId w:val="1011"/>
        </w:numPr>
        <w:pStyle w:val="Compact"/>
      </w:pPr>
      <w:r>
        <w:t xml:space="preserve">Monitoring and alerting setup</w:t>
      </w:r>
    </w:p>
    <w:p>
      <w:pPr>
        <w:numPr>
          <w:ilvl w:val="0"/>
          <w:numId w:val="1011"/>
        </w:numPr>
        <w:pStyle w:val="Compact"/>
      </w:pPr>
      <w:r>
        <w:t xml:space="preserve">Disaster recovery configuration</w:t>
      </w:r>
    </w:p>
    <w:p>
      <w:pPr>
        <w:numPr>
          <w:ilvl w:val="0"/>
          <w:numId w:val="1011"/>
        </w:numPr>
        <w:pStyle w:val="Compact"/>
      </w:pPr>
      <w:r>
        <w:t xml:space="preserve">Environment management</w:t>
      </w:r>
    </w:p>
    <w:p>
      <w:pPr>
        <w:numPr>
          <w:ilvl w:val="0"/>
          <w:numId w:val="1011"/>
        </w:numPr>
        <w:pStyle w:val="Compact"/>
      </w:pPr>
      <w:r>
        <w:t xml:space="preserve">Release management</w:t>
      </w:r>
    </w:p>
    <w:bookmarkEnd w:id="48"/>
    <w:bookmarkEnd w:id="49"/>
    <w:bookmarkStart w:id="51" w:name="team-governance"/>
    <w:p>
      <w:pPr>
        <w:pStyle w:val="Heading2"/>
      </w:pPr>
      <w:r>
        <w:t xml:space="preserve">Team Governance</w:t>
      </w:r>
    </w:p>
    <w:p>
      <w:pPr>
        <w:numPr>
          <w:ilvl w:val="0"/>
          <w:numId w:val="1012"/>
        </w:numPr>
        <w:pStyle w:val="Compact"/>
      </w:pPr>
      <w:r>
        <w:rPr>
          <w:bCs/>
          <w:b/>
        </w:rPr>
        <w:t xml:space="preserve">Daily Standup</w:t>
      </w:r>
      <w:r>
        <w:t xml:space="preserve">: 15 min, all team members</w:t>
      </w:r>
    </w:p>
    <w:p>
      <w:pPr>
        <w:numPr>
          <w:ilvl w:val="0"/>
          <w:numId w:val="1012"/>
        </w:numPr>
        <w:pStyle w:val="Compact"/>
      </w:pPr>
      <w:r>
        <w:rPr>
          <w:bCs/>
          <w:b/>
        </w:rPr>
        <w:t xml:space="preserve">Sprint Planning</w:t>
      </w:r>
      <w:r>
        <w:t xml:space="preserve">: Bi-weekly, 2 hours</w:t>
      </w:r>
    </w:p>
    <w:p>
      <w:pPr>
        <w:numPr>
          <w:ilvl w:val="0"/>
          <w:numId w:val="1012"/>
        </w:numPr>
        <w:pStyle w:val="Compact"/>
      </w:pPr>
      <w:r>
        <w:rPr>
          <w:bCs/>
          <w:b/>
        </w:rPr>
        <w:t xml:space="preserve">Architecture Review</w:t>
      </w:r>
      <w:r>
        <w:t xml:space="preserve">: Weekly, 1 hour</w:t>
      </w:r>
    </w:p>
    <w:p>
      <w:pPr>
        <w:numPr>
          <w:ilvl w:val="0"/>
          <w:numId w:val="1012"/>
        </w:numPr>
        <w:pStyle w:val="Compact"/>
      </w:pPr>
      <w:r>
        <w:rPr>
          <w:bCs/>
          <w:b/>
        </w:rPr>
        <w:t xml:space="preserve">Steering Committee</w:t>
      </w:r>
      <w:r>
        <w:t xml:space="preserve">: Monthly, 2 hours (with client executives)</w:t>
      </w:r>
    </w:p>
    <w:bookmarkStart w:id="50" w:name="team-governance-1"/>
    <w:p>
      <w:pPr>
        <w:pStyle w:val="Heading3"/>
      </w:pPr>
      <w:r>
        <w:t xml:space="preserve">Team Governance</w:t>
      </w:r>
    </w:p>
    <w:p>
      <w:pPr>
        <w:numPr>
          <w:ilvl w:val="0"/>
          <w:numId w:val="1013"/>
        </w:numPr>
        <w:pStyle w:val="Compact"/>
      </w:pPr>
      <w:r>
        <w:t xml:space="preserve">Daily standup (15 minutes)</w:t>
      </w:r>
    </w:p>
    <w:p>
      <w:pPr>
        <w:numPr>
          <w:ilvl w:val="0"/>
          <w:numId w:val="1013"/>
        </w:numPr>
        <w:pStyle w:val="Compact"/>
      </w:pPr>
      <w:r>
        <w:t xml:space="preserve">Bi-weekly sprint planning</w:t>
      </w:r>
    </w:p>
    <w:p>
      <w:pPr>
        <w:numPr>
          <w:ilvl w:val="0"/>
          <w:numId w:val="1013"/>
        </w:numPr>
        <w:pStyle w:val="Compact"/>
      </w:pPr>
      <w:r>
        <w:t xml:space="preserve">Weekly architecture review</w:t>
      </w:r>
    </w:p>
    <w:p>
      <w:pPr>
        <w:numPr>
          <w:ilvl w:val="0"/>
          <w:numId w:val="1013"/>
        </w:numPr>
        <w:pStyle w:val="Compact"/>
      </w:pPr>
      <w:r>
        <w:t xml:space="preserve">Monthly steering committee (client executives)</w:t>
      </w:r>
    </w:p>
    <w:p>
      <w:r>
        <w:pict>
          <v:rect style="width:0;height:1.5pt" o:hralign="center" o:hrstd="t" o:hr="t"/>
        </w:pict>
      </w:r>
    </w:p>
    <w:bookmarkEnd w:id="50"/>
    <w:bookmarkEnd w:id="51"/>
    <w:bookmarkStart w:id="52" w:name="relevant-experience"/>
    <w:p>
      <w:pPr>
        <w:pStyle w:val="Heading2"/>
      </w:pPr>
      <w:r>
        <w:t xml:space="preserve">Relevant Experience</w:t>
      </w:r>
    </w:p>
    <w:bookmarkEnd w:id="52"/>
    <w:bookmarkEnd w:id="53"/>
    <w:bookmarkStart w:id="64" w:name="X150a3f42774c945012582322a7c129f56652bdb"/>
    <w:p>
      <w:pPr>
        <w:pStyle w:val="Heading1"/>
      </w:pPr>
      <w:r>
        <w:t xml:space="preserve">Case Study: Oracle Financial Cloud Implementation</w:t>
      </w:r>
    </w:p>
    <w:bookmarkStart w:id="54" w:name="client-situation"/>
    <w:p>
      <w:pPr>
        <w:pStyle w:val="Heading2"/>
      </w:pPr>
      <w:r>
        <w:t xml:space="preserve">Client Situation</w:t>
      </w:r>
    </w:p>
    <w:p>
      <w:pPr>
        <w:pStyle w:val="FirstParagraph"/>
      </w:pPr>
      <w:r>
        <w:t xml:space="preserve">A rapidly growing healthcare network had acquired 6 smaller hospital systems over 4 years, each with its own financial systems. The result was a patchwork of 14 different GL instances, inconsistent chart of accounts, and a financial close process that took 15 business days.</w:t>
      </w:r>
    </w:p>
    <w:p>
      <w:pPr>
        <w:pStyle w:val="BodyText"/>
      </w:pPr>
      <w:r>
        <w:rPr>
          <w:bCs/>
          <w:b/>
        </w:rPr>
        <w:t xml:space="preserve">Key Challenges:</w:t>
      </w:r>
      <w:r>
        <w:t xml:space="preserve"> </w:t>
      </w:r>
      <w:r>
        <w:t xml:space="preserve">- 14 separate general ledgers with no standardization</w:t>
      </w:r>
      <w:r>
        <w:t xml:space="preserve"> </w:t>
      </w:r>
      <w:r>
        <w:t xml:space="preserve">- Manual consolidation process requiring 8 FTEs for 15 days each month</w:t>
      </w:r>
      <w:r>
        <w:t xml:space="preserve"> </w:t>
      </w:r>
      <w:r>
        <w:t xml:space="preserve">- AP processing distributed across 7 different systems</w:t>
      </w:r>
      <w:r>
        <w:t xml:space="preserve"> </w:t>
      </w:r>
      <w:r>
        <w:t xml:space="preserve">- Lack of real-time financial visibility for executive decision-making</w:t>
      </w:r>
      <w:r>
        <w:t xml:space="preserve"> </w:t>
      </w:r>
      <w:r>
        <w:t xml:space="preserve">- Compliance risk from inconsistent revenue recognition practices</w:t>
      </w:r>
    </w:p>
    <w:bookmarkEnd w:id="54"/>
    <w:bookmarkStart w:id="59" w:name="our-approach-1"/>
    <w:p>
      <w:pPr>
        <w:pStyle w:val="Heading2"/>
      </w:pPr>
      <w:r>
        <w:t xml:space="preserve">Our Approach</w:t>
      </w:r>
    </w:p>
    <w:bookmarkStart w:id="55" w:name="phase-1-discover-design-weeks-1-8"/>
    <w:p>
      <w:pPr>
        <w:pStyle w:val="Heading3"/>
      </w:pPr>
      <w:r>
        <w:t xml:space="preserve">Phase 1: Discover &amp; Design (Weeks 1-8)</w:t>
      </w:r>
    </w:p>
    <w:p>
      <w:pPr>
        <w:numPr>
          <w:ilvl w:val="0"/>
          <w:numId w:val="1014"/>
        </w:numPr>
        <w:pStyle w:val="Compact"/>
      </w:pPr>
      <w:r>
        <w:t xml:space="preserve">Conducted 47 stakeholder interviews across finance, IT, and operations</w:t>
      </w:r>
    </w:p>
    <w:p>
      <w:pPr>
        <w:numPr>
          <w:ilvl w:val="0"/>
          <w:numId w:val="1014"/>
        </w:numPr>
        <w:pStyle w:val="Compact"/>
      </w:pPr>
      <w:r>
        <w:t xml:space="preserve">Mapped all 14 GL instances to identify commonalities and conflicts</w:t>
      </w:r>
    </w:p>
    <w:p>
      <w:pPr>
        <w:numPr>
          <w:ilvl w:val="0"/>
          <w:numId w:val="1014"/>
        </w:numPr>
        <w:pStyle w:val="Compact"/>
      </w:pPr>
      <w:r>
        <w:t xml:space="preserve">Designed unified chart of accounts with 8 segments (Entity, Department, Account, Project, Product, Intercompany, Future1, Future2)</w:t>
      </w:r>
    </w:p>
    <w:p>
      <w:pPr>
        <w:numPr>
          <w:ilvl w:val="0"/>
          <w:numId w:val="1014"/>
        </w:numPr>
        <w:pStyle w:val="Compact"/>
      </w:pPr>
      <w:r>
        <w:t xml:space="preserve">Built a business case showing $1.2M annual savings from consolidation</w:t>
      </w:r>
    </w:p>
    <w:bookmarkEnd w:id="55"/>
    <w:bookmarkStart w:id="56" w:name="phase-2-configure-build-weeks-9-20"/>
    <w:p>
      <w:pPr>
        <w:pStyle w:val="Heading3"/>
      </w:pPr>
      <w:r>
        <w:t xml:space="preserve">Phase 2: Configure &amp; Build (Weeks 9-20)</w:t>
      </w:r>
    </w:p>
    <w:p>
      <w:pPr>
        <w:numPr>
          <w:ilvl w:val="0"/>
          <w:numId w:val="1015"/>
        </w:numPr>
        <w:pStyle w:val="Compact"/>
      </w:pPr>
      <w:r>
        <w:t xml:space="preserve">Configured Oracle Fusion Cloud Financials (GL, AP, AR, Cash Management)</w:t>
      </w:r>
    </w:p>
    <w:p>
      <w:pPr>
        <w:numPr>
          <w:ilvl w:val="0"/>
          <w:numId w:val="1015"/>
        </w:numPr>
        <w:pStyle w:val="Compact"/>
      </w:pPr>
      <w:r>
        <w:t xml:space="preserve">Developed 23 custom reports using Oracle Analytics Cloud</w:t>
      </w:r>
    </w:p>
    <w:p>
      <w:pPr>
        <w:numPr>
          <w:ilvl w:val="0"/>
          <w:numId w:val="1015"/>
        </w:numPr>
        <w:pStyle w:val="Compact"/>
      </w:pPr>
      <w:r>
        <w:t xml:space="preserve">Built integration middleware using Oracle Integration Cloud to connect:</w:t>
      </w:r>
    </w:p>
    <w:p>
      <w:pPr>
        <w:numPr>
          <w:ilvl w:val="1"/>
          <w:numId w:val="1016"/>
        </w:numPr>
        <w:pStyle w:val="Compact"/>
      </w:pPr>
      <w:r>
        <w:t xml:space="preserve">HRIS (Workday) for employee cost allocations</w:t>
      </w:r>
    </w:p>
    <w:p>
      <w:pPr>
        <w:numPr>
          <w:ilvl w:val="1"/>
          <w:numId w:val="1016"/>
        </w:numPr>
        <w:pStyle w:val="Compact"/>
      </w:pPr>
      <w:r>
        <w:t xml:space="preserve">Supply chain system for PO-to-voucher matching</w:t>
      </w:r>
    </w:p>
    <w:p>
      <w:pPr>
        <w:numPr>
          <w:ilvl w:val="1"/>
          <w:numId w:val="1016"/>
        </w:numPr>
        <w:pStyle w:val="Compact"/>
      </w:pPr>
      <w:r>
        <w:t xml:space="preserve">Patient billing system for revenue recognition</w:t>
      </w:r>
    </w:p>
    <w:p>
      <w:pPr>
        <w:numPr>
          <w:ilvl w:val="0"/>
          <w:numId w:val="1015"/>
        </w:numPr>
        <w:pStyle w:val="Compact"/>
      </w:pPr>
      <w:r>
        <w:t xml:space="preserve">Configured security roles for 340 users across 14 entities</w:t>
      </w:r>
    </w:p>
    <w:bookmarkEnd w:id="56"/>
    <w:bookmarkStart w:id="57" w:name="phase-3-test-train-weeks-21-28"/>
    <w:p>
      <w:pPr>
        <w:pStyle w:val="Heading3"/>
      </w:pPr>
      <w:r>
        <w:t xml:space="preserve">Phase 3: Test &amp; Train (Weeks 21-28)</w:t>
      </w:r>
    </w:p>
    <w:p>
      <w:pPr>
        <w:numPr>
          <w:ilvl w:val="0"/>
          <w:numId w:val="1017"/>
        </w:numPr>
        <w:pStyle w:val="Compact"/>
      </w:pPr>
      <w:r>
        <w:t xml:space="preserve">Executed 3 mock closes (Month-1, Month-2, Month-3) with parallel running</w:t>
      </w:r>
    </w:p>
    <w:p>
      <w:pPr>
        <w:numPr>
          <w:ilvl w:val="0"/>
          <w:numId w:val="1017"/>
        </w:numPr>
        <w:pStyle w:val="Compact"/>
      </w:pPr>
      <w:r>
        <w:t xml:space="preserve">Trained 85 end users through a</w:t>
      </w:r>
      <w:r>
        <w:t xml:space="preserve"> </w:t>
      </w:r>
      <w:r>
        <w:t xml:space="preserve">“</w:t>
      </w:r>
      <w:r>
        <w:t xml:space="preserve">super-user</w:t>
      </w:r>
      <w:r>
        <w:t xml:space="preserve">”</w:t>
      </w:r>
      <w:r>
        <w:t xml:space="preserve"> </w:t>
      </w:r>
      <w:r>
        <w:t xml:space="preserve">cascade model</w:t>
      </w:r>
    </w:p>
    <w:p>
      <w:pPr>
        <w:numPr>
          <w:ilvl w:val="0"/>
          <w:numId w:val="1017"/>
        </w:numPr>
        <w:pStyle w:val="Compact"/>
      </w:pPr>
      <w:r>
        <w:t xml:space="preserve">Conducted security penetration testing and SOX control validation</w:t>
      </w:r>
    </w:p>
    <w:p>
      <w:pPr>
        <w:numPr>
          <w:ilvl w:val="0"/>
          <w:numId w:val="1017"/>
        </w:numPr>
        <w:pStyle w:val="Compact"/>
      </w:pPr>
      <w:r>
        <w:t xml:space="preserve">Performed data reconciliation with legacy systems</w:t>
      </w:r>
    </w:p>
    <w:bookmarkEnd w:id="57"/>
    <w:bookmarkStart w:id="58" w:name="phase-4-deploy-stabilize-weeks-29-32"/>
    <w:p>
      <w:pPr>
        <w:pStyle w:val="Heading3"/>
      </w:pPr>
      <w:r>
        <w:t xml:space="preserve">Phase 4: Deploy &amp; Stabilize (Weeks 29-32)</w:t>
      </w:r>
    </w:p>
    <w:p>
      <w:pPr>
        <w:numPr>
          <w:ilvl w:val="0"/>
          <w:numId w:val="1018"/>
        </w:numPr>
        <w:pStyle w:val="Compact"/>
      </w:pPr>
      <w:r>
        <w:t xml:space="preserve">Cutover executed over a weekend with go-live on Monday</w:t>
      </w:r>
    </w:p>
    <w:p>
      <w:pPr>
        <w:numPr>
          <w:ilvl w:val="0"/>
          <w:numId w:val="1018"/>
        </w:numPr>
        <w:pStyle w:val="Compact"/>
      </w:pPr>
      <w:r>
        <w:t xml:space="preserve">Deployed</w:t>
      </w:r>
      <w:r>
        <w:t xml:space="preserve"> </w:t>
      </w:r>
      <w:r>
        <w:t xml:space="preserve">“</w:t>
      </w:r>
      <w:r>
        <w:t xml:space="preserve">war room</w:t>
      </w:r>
      <w:r>
        <w:t xml:space="preserve">”</w:t>
      </w:r>
      <w:r>
        <w:t xml:space="preserve"> </w:t>
      </w:r>
      <w:r>
        <w:t xml:space="preserve">support for first 3 production closes</w:t>
      </w:r>
    </w:p>
    <w:p>
      <w:pPr>
        <w:numPr>
          <w:ilvl w:val="0"/>
          <w:numId w:val="1018"/>
        </w:numPr>
        <w:pStyle w:val="Compact"/>
      </w:pPr>
      <w:r>
        <w:t xml:space="preserve">Established runbooks and escalation procedures</w:t>
      </w:r>
    </w:p>
    <w:p>
      <w:pPr>
        <w:numPr>
          <w:ilvl w:val="0"/>
          <w:numId w:val="1018"/>
        </w:numPr>
        <w:pStyle w:val="Compact"/>
      </w:pPr>
      <w:r>
        <w:t xml:space="preserve">Transitioned to managed services for ongoing support</w:t>
      </w:r>
    </w:p>
    <w:bookmarkEnd w:id="58"/>
    <w:bookmarkEnd w:id="59"/>
    <w:bookmarkStart w:id="60" w:name="key-decisions"/>
    <w:p>
      <w:pPr>
        <w:pStyle w:val="Heading2"/>
      </w:pPr>
      <w:r>
        <w:t xml:space="preserve">Key Decisions</w:t>
      </w:r>
    </w:p>
    <w:p>
      <w:pPr>
        <w:pStyle w:val="FirstParagraph"/>
      </w:pPr>
      <w:r>
        <w:rPr>
          <w:bCs/>
          <w:b/>
        </w:rPr>
        <w:t xml:space="preserve">Decision: Big Bang vs. Phased Rollout</w:t>
      </w:r>
      <w:r>
        <w:t xml:space="preserve"> </w:t>
      </w:r>
      <w:r>
        <w:t xml:space="preserve">Recommended big-bang for GL (single source of truth required) but phased for AP (lower risk, easier rollback). This hybrid approach balanced urgency with prudence.</w:t>
      </w:r>
    </w:p>
    <w:p>
      <w:pPr>
        <w:pStyle w:val="BodyText"/>
      </w:pPr>
      <w:r>
        <w:rPr>
          <w:bCs/>
          <w:b/>
        </w:rPr>
        <w:t xml:space="preserve">Decision: Standardize vs. Accommodate Local Practices</w:t>
      </w:r>
      <w:r>
        <w:t xml:space="preserve"> </w:t>
      </w:r>
      <w:r>
        <w:t xml:space="preserve">Compromise approach: 80% standardization with 20% local flexibility through configurable segments. This prevented</w:t>
      </w:r>
      <w:r>
        <w:t xml:space="preserve"> </w:t>
      </w:r>
      <w:r>
        <w:t xml:space="preserve">“</w:t>
      </w:r>
      <w:r>
        <w:t xml:space="preserve">lowest common denominator</w:t>
      </w:r>
      <w:r>
        <w:t xml:space="preserve">”</w:t>
      </w:r>
      <w:r>
        <w:t xml:space="preserve"> </w:t>
      </w:r>
      <w:r>
        <w:t xml:space="preserve">design while respecting operational realities.</w:t>
      </w:r>
    </w:p>
    <w:bookmarkEnd w:id="60"/>
    <w:bookmarkStart w:id="61" w:name="outcomes"/>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Financial Close Duration</w:t>
            </w:r>
          </w:p>
        </w:tc>
        <w:tc>
          <w:tcPr/>
          <w:p>
            <w:pPr>
              <w:pStyle w:val="Compact"/>
              <w:jc w:val="left"/>
            </w:pPr>
            <w:r>
              <w:t xml:space="preserve">15 days</w:t>
            </w:r>
          </w:p>
        </w:tc>
        <w:tc>
          <w:tcPr/>
          <w:p>
            <w:pPr>
              <w:pStyle w:val="Compact"/>
              <w:jc w:val="left"/>
            </w:pPr>
            <w:r>
              <w:t xml:space="preserve">4 days</w:t>
            </w:r>
          </w:p>
        </w:tc>
        <w:tc>
          <w:tcPr/>
          <w:p>
            <w:pPr>
              <w:pStyle w:val="Compact"/>
              <w:jc w:val="left"/>
            </w:pPr>
            <w:r>
              <w:rPr>
                <w:bCs/>
                <w:b/>
              </w:rPr>
              <w:t xml:space="preserve">-73%</w:t>
            </w:r>
          </w:p>
        </w:tc>
      </w:tr>
      <w:tr>
        <w:tc>
          <w:tcPr/>
          <w:p>
            <w:pPr>
              <w:pStyle w:val="Compact"/>
              <w:jc w:val="left"/>
            </w:pPr>
            <w:r>
              <w:t xml:space="preserve">AP Processing Cost</w:t>
            </w:r>
          </w:p>
        </w:tc>
        <w:tc>
          <w:tcPr/>
          <w:p>
            <w:pPr>
              <w:pStyle w:val="Compact"/>
              <w:jc w:val="left"/>
            </w:pPr>
            <w:r>
              <w:t xml:space="preserve">$12.50/invoice</w:t>
            </w:r>
          </w:p>
        </w:tc>
        <w:tc>
          <w:tcPr/>
          <w:p>
            <w:pPr>
              <w:pStyle w:val="Compact"/>
              <w:jc w:val="left"/>
            </w:pPr>
            <w:r>
              <w:t xml:space="preserve">$7.75/invoice</w:t>
            </w:r>
          </w:p>
        </w:tc>
        <w:tc>
          <w:tcPr/>
          <w:p>
            <w:pPr>
              <w:pStyle w:val="Compact"/>
              <w:jc w:val="left"/>
            </w:pPr>
            <w:r>
              <w:rPr>
                <w:bCs/>
                <w:b/>
              </w:rPr>
              <w:t xml:space="preserve">-38%</w:t>
            </w:r>
          </w:p>
        </w:tc>
      </w:tr>
      <w:tr>
        <w:tc>
          <w:tcPr/>
          <w:p>
            <w:pPr>
              <w:pStyle w:val="Compact"/>
              <w:jc w:val="left"/>
            </w:pPr>
            <w:r>
              <w:t xml:space="preserve">Invoice Accuracy</w:t>
            </w:r>
          </w:p>
        </w:tc>
        <w:tc>
          <w:tcPr/>
          <w:p>
            <w:pPr>
              <w:pStyle w:val="Compact"/>
              <w:jc w:val="left"/>
            </w:pPr>
            <w:r>
              <w:t xml:space="preserve">87%</w:t>
            </w:r>
          </w:p>
        </w:tc>
        <w:tc>
          <w:tcPr/>
          <w:p>
            <w:pPr>
              <w:pStyle w:val="Compact"/>
              <w:jc w:val="left"/>
            </w:pPr>
            <w:r>
              <w:t xml:space="preserve">99.4%</w:t>
            </w:r>
          </w:p>
        </w:tc>
        <w:tc>
          <w:tcPr/>
          <w:p>
            <w:pPr>
              <w:pStyle w:val="Compact"/>
              <w:jc w:val="left"/>
            </w:pPr>
            <w:r>
              <w:rPr>
                <w:bCs/>
                <w:b/>
              </w:rPr>
              <w:t xml:space="preserve">+12.4%</w:t>
            </w:r>
          </w:p>
        </w:tc>
      </w:tr>
      <w:tr>
        <w:tc>
          <w:tcPr/>
          <w:p>
            <w:pPr>
              <w:pStyle w:val="Compact"/>
              <w:jc w:val="left"/>
            </w:pPr>
            <w:r>
              <w:t xml:space="preserve">GL Instances</w:t>
            </w:r>
          </w:p>
        </w:tc>
        <w:tc>
          <w:tcPr/>
          <w:p>
            <w:pPr>
              <w:pStyle w:val="Compact"/>
              <w:jc w:val="left"/>
            </w:pPr>
            <w:r>
              <w:t xml:space="preserve">14</w:t>
            </w:r>
          </w:p>
        </w:tc>
        <w:tc>
          <w:tcPr/>
          <w:p>
            <w:pPr>
              <w:pStyle w:val="Compact"/>
              <w:jc w:val="left"/>
            </w:pPr>
            <w:r>
              <w:t xml:space="preserve">1 unified</w:t>
            </w:r>
          </w:p>
        </w:tc>
        <w:tc>
          <w:tcPr/>
          <w:p>
            <w:pPr>
              <w:pStyle w:val="Compact"/>
              <w:jc w:val="left"/>
            </w:pPr>
            <w:r>
              <w:rPr>
                <w:bCs/>
                <w:b/>
              </w:rPr>
              <w:t xml:space="preserve">-93%</w:t>
            </w:r>
          </w:p>
        </w:tc>
      </w:tr>
      <w:tr>
        <w:tc>
          <w:tcPr/>
          <w:p>
            <w:pPr>
              <w:pStyle w:val="Compact"/>
              <w:jc w:val="left"/>
            </w:pPr>
            <w:r>
              <w:t xml:space="preserve">Real-time Reporting</w:t>
            </w:r>
          </w:p>
        </w:tc>
        <w:tc>
          <w:tcPr/>
          <w:p>
            <w:pPr>
              <w:pStyle w:val="Compact"/>
              <w:jc w:val="left"/>
            </w:pPr>
            <w:r>
              <w:t xml:space="preserve">None</w:t>
            </w:r>
          </w:p>
        </w:tc>
        <w:tc>
          <w:tcPr/>
          <w:p>
            <w:pPr>
              <w:pStyle w:val="Compact"/>
              <w:jc w:val="left"/>
            </w:pPr>
            <w:r>
              <w:t xml:space="preserve">Daily dashboards</w:t>
            </w:r>
          </w:p>
        </w:tc>
        <w:tc>
          <w:tcPr/>
          <w:p>
            <w:pPr>
              <w:pStyle w:val="Compact"/>
              <w:jc w:val="left"/>
            </w:pPr>
            <w:r>
              <w:rPr>
                <w:bCs/>
                <w:b/>
              </w:rPr>
              <w:t xml:space="preserve">New capability</w:t>
            </w:r>
          </w:p>
        </w:tc>
      </w:tr>
      <w:tr>
        <w:tc>
          <w:tcPr/>
          <w:p>
            <w:pPr>
              <w:pStyle w:val="Compact"/>
              <w:jc w:val="left"/>
            </w:pPr>
            <w:r>
              <w:t xml:space="preserve">SOX Compliance</w:t>
            </w:r>
          </w:p>
        </w:tc>
        <w:tc>
          <w:tcPr/>
          <w:p>
            <w:pPr>
              <w:pStyle w:val="Compact"/>
              <w:jc w:val="left"/>
            </w:pPr>
            <w:r>
              <w:t xml:space="preserve">Manual</w:t>
            </w:r>
          </w:p>
        </w:tc>
        <w:tc>
          <w:tcPr/>
          <w:p>
            <w:pPr>
              <w:pStyle w:val="Compact"/>
              <w:jc w:val="left"/>
            </w:pPr>
            <w:r>
              <w:t xml:space="preserve">Automated controls</w:t>
            </w:r>
          </w:p>
        </w:tc>
        <w:tc>
          <w:tcPr/>
          <w:p>
            <w:pPr>
              <w:pStyle w:val="Compact"/>
              <w:jc w:val="left"/>
            </w:pPr>
            <w:r>
              <w:rPr>
                <w:bCs/>
                <w:b/>
              </w:rPr>
              <w:t xml:space="preserve">New capability</w:t>
            </w:r>
          </w:p>
        </w:tc>
      </w:tr>
    </w:tbl>
    <w:bookmarkEnd w:id="61"/>
    <w:bookmarkStart w:id="62" w:name="client-testimonial"/>
    <w:p>
      <w:pPr>
        <w:pStyle w:val="Heading2"/>
      </w:pPr>
      <w:r>
        <w:t xml:space="preserve">Client Testimonial</w:t>
      </w:r>
    </w:p>
    <w:p>
      <w:pPr>
        <w:pStyle w:val="BlockText"/>
      </w:pPr>
      <w:r>
        <w:t xml:space="preserve">“</w:t>
      </w:r>
      <w:r>
        <w:t xml:space="preserve">For the first time in 6 years, I can see our entire network’s financial position on Monday morning, not the 20th of the month. Apex delivered what our internal team had been promising for years.</w:t>
      </w:r>
      <w:r>
        <w:t xml:space="preserve">”</w:t>
      </w:r>
      <w:r>
        <w:t xml:space="preserve"> </w:t>
      </w:r>
      <w:r>
        <w:t xml:space="preserve">— CFO, Regional Healthcare Network</w:t>
      </w:r>
    </w:p>
    <w:bookmarkEnd w:id="62"/>
    <w:bookmarkStart w:id="63" w:name="lessons-learned"/>
    <w:p>
      <w:pPr>
        <w:pStyle w:val="Heading2"/>
      </w:pPr>
      <w:r>
        <w:t xml:space="preserve">Lessons Learned</w:t>
      </w:r>
    </w:p>
    <w:p>
      <w:pPr>
        <w:numPr>
          <w:ilvl w:val="0"/>
          <w:numId w:val="1019"/>
        </w:numPr>
      </w:pPr>
      <w:r>
        <w:rPr>
          <w:bCs/>
          <w:b/>
        </w:rPr>
        <w:t xml:space="preserve">Chart of accounts design is political</w:t>
      </w:r>
      <w:r>
        <w:t xml:space="preserve"> </w:t>
      </w:r>
      <w:r>
        <w:t xml:space="preserve">— What seems like a technical decision (</w:t>
      </w:r>
      <w:r>
        <w:t xml:space="preserve">“</w:t>
      </w:r>
      <w:r>
        <w:t xml:space="preserve">how many segments?</w:t>
      </w:r>
      <w:r>
        <w:t xml:space="preserve">”</w:t>
      </w:r>
      <w:r>
        <w:t xml:space="preserve">) becomes a power struggle between acquired entities. We facilitated 6 workshops to reach consensus.</w:t>
      </w:r>
    </w:p>
    <w:p>
      <w:pPr>
        <w:numPr>
          <w:ilvl w:val="0"/>
          <w:numId w:val="1019"/>
        </w:numPr>
      </w:pPr>
      <w:r>
        <w:rPr>
          <w:bCs/>
          <w:b/>
        </w:rPr>
        <w:t xml:space="preserve">Data migration is never just ETL</w:t>
      </w:r>
      <w:r>
        <w:t xml:space="preserve"> </w:t>
      </w:r>
      <w:r>
        <w:t xml:space="preserve">— Historical data from 14 systems had different calendars, currencies, and conventions. We built a</w:t>
      </w:r>
      <w:r>
        <w:t xml:space="preserve"> </w:t>
      </w:r>
      <w:r>
        <w:t xml:space="preserve">“</w:t>
      </w:r>
      <w:r>
        <w:t xml:space="preserve">data normalization layer</w:t>
      </w:r>
      <w:r>
        <w:t xml:space="preserve">”</w:t>
      </w:r>
      <w:r>
        <w:t xml:space="preserve"> </w:t>
      </w:r>
      <w:r>
        <w:t xml:space="preserve">that added 3 weeks but prevented months of reconciliation.</w:t>
      </w:r>
    </w:p>
    <w:p>
      <w:pPr>
        <w:numPr>
          <w:ilvl w:val="0"/>
          <w:numId w:val="1019"/>
        </w:numPr>
      </w:pPr>
      <w:r>
        <w:rPr>
          <w:bCs/>
          <w:b/>
        </w:rPr>
        <w:t xml:space="preserve">Change management is 40% of the work</w:t>
      </w:r>
      <w:r>
        <w:t xml:space="preserve"> </w:t>
      </w:r>
      <w:r>
        <w:t xml:space="preserve">— Technical implementation was the easy part. Getting 85 users to trust a new close process required 1:1 coaching for key personnel.</w:t>
      </w:r>
    </w:p>
    <w:p>
      <w:r>
        <w:pict>
          <v:rect style="width:0;height:1.5pt" o:hralign="center" o:hrstd="t" o:hr="t"/>
        </w:pict>
      </w:r>
    </w:p>
    <w:bookmarkEnd w:id="63"/>
    <w:bookmarkEnd w:id="64"/>
    <w:bookmarkStart w:id="76" w:name="case-study-manufacturing-cloud-migration"/>
    <w:p>
      <w:pPr>
        <w:pStyle w:val="Heading1"/>
      </w:pPr>
      <w:r>
        <w:t xml:space="preserve">Case Study: Manufacturing Cloud Migration</w:t>
      </w:r>
    </w:p>
    <w:bookmarkStart w:id="65" w:name="client-situation-1"/>
    <w:p>
      <w:pPr>
        <w:pStyle w:val="Heading2"/>
      </w:pPr>
      <w:r>
        <w:t xml:space="preserve">Client Situation</w:t>
      </w:r>
    </w:p>
    <w:p>
      <w:pPr>
        <w:pStyle w:val="FirstParagraph"/>
      </w:pPr>
      <w:r>
        <w:t xml:space="preserve">Our client, a tier-1 automotive parts supplier, was running a 15-year-old data center infrastructure that was becoming a strategic liability. Their on-premise systems couldn’t scale to support a new IoT initiative for predictive maintenance across 12 manufacturing plants.</w:t>
      </w:r>
    </w:p>
    <w:p>
      <w:pPr>
        <w:pStyle w:val="BodyText"/>
      </w:pPr>
      <w:r>
        <w:rPr>
          <w:bCs/>
          <w:b/>
        </w:rPr>
        <w:t xml:space="preserve">Key Challenges:</w:t>
      </w:r>
      <w:r>
        <w:t xml:space="preserve"> </w:t>
      </w:r>
      <w:r>
        <w:t xml:space="preserve">- Aging hardware with 23% annual maintenance cost growth</w:t>
      </w:r>
      <w:r>
        <w:t xml:space="preserve"> </w:t>
      </w:r>
      <w:r>
        <w:t xml:space="preserve">- Inability to burst compute for quarterly financial close</w:t>
      </w:r>
      <w:r>
        <w:t xml:space="preserve"> </w:t>
      </w:r>
      <w:r>
        <w:t xml:space="preserve">- Disaster recovery testing that took 3 days and failed 40% of the time</w:t>
      </w:r>
      <w:r>
        <w:t xml:space="preserve"> </w:t>
      </w:r>
      <w:r>
        <w:t xml:space="preserve">- Development environments that took 2 weeks to provision</w:t>
      </w:r>
    </w:p>
    <w:bookmarkEnd w:id="65"/>
    <w:bookmarkStart w:id="70" w:name="our-approach-2"/>
    <w:p>
      <w:pPr>
        <w:pStyle w:val="Heading2"/>
      </w:pPr>
      <w:r>
        <w:t xml:space="preserve">Our Approach</w:t>
      </w:r>
    </w:p>
    <w:p>
      <w:pPr>
        <w:pStyle w:val="FirstParagraph"/>
      </w:pPr>
      <w:r>
        <w:t xml:space="preserve">We designed a</w:t>
      </w:r>
      <w:r>
        <w:t xml:space="preserve"> </w:t>
      </w:r>
      <w:r>
        <w:t xml:space="preserve">“</w:t>
      </w:r>
      <w:r>
        <w:t xml:space="preserve">Plant-to-Cloud</w:t>
      </w:r>
      <w:r>
        <w:t xml:space="preserve">”</w:t>
      </w:r>
      <w:r>
        <w:t xml:space="preserve"> </w:t>
      </w:r>
      <w:r>
        <w:t xml:space="preserve">migration strategy that prioritized business continuity over speed:</w:t>
      </w:r>
    </w:p>
    <w:bookmarkStart w:id="66" w:name="phase-1-foundation-weeks-1-8"/>
    <w:p>
      <w:pPr>
        <w:pStyle w:val="Heading3"/>
      </w:pPr>
      <w:r>
        <w:t xml:space="preserve">Phase 1: Foundation (Weeks 1-8)</w:t>
      </w:r>
    </w:p>
    <w:p>
      <w:pPr>
        <w:numPr>
          <w:ilvl w:val="0"/>
          <w:numId w:val="1020"/>
        </w:numPr>
        <w:pStyle w:val="Compact"/>
      </w:pPr>
      <w:r>
        <w:t xml:space="preserve">Established Azure landing zones with hub-spoke network topology</w:t>
      </w:r>
    </w:p>
    <w:p>
      <w:pPr>
        <w:numPr>
          <w:ilvl w:val="0"/>
          <w:numId w:val="1020"/>
        </w:numPr>
        <w:pStyle w:val="Compact"/>
      </w:pPr>
      <w:r>
        <w:t xml:space="preserve">Implemented Infrastructure-as-Code using Terraform and Azure DevOps</w:t>
      </w:r>
    </w:p>
    <w:p>
      <w:pPr>
        <w:numPr>
          <w:ilvl w:val="0"/>
          <w:numId w:val="1020"/>
        </w:numPr>
        <w:pStyle w:val="Compact"/>
      </w:pPr>
      <w:r>
        <w:t xml:space="preserve">Built a centralized logging and monitoring platform</w:t>
      </w:r>
    </w:p>
    <w:p>
      <w:pPr>
        <w:numPr>
          <w:ilvl w:val="0"/>
          <w:numId w:val="1020"/>
        </w:numPr>
        <w:pStyle w:val="Compact"/>
      </w:pPr>
      <w:r>
        <w:t xml:space="preserve">Established security baselines and compliance controls</w:t>
      </w:r>
    </w:p>
    <w:bookmarkEnd w:id="66"/>
    <w:bookmarkStart w:id="67" w:name="phase-2-pilot-migration-weeks-9-16"/>
    <w:p>
      <w:pPr>
        <w:pStyle w:val="Heading3"/>
      </w:pPr>
      <w:r>
        <w:t xml:space="preserve">Phase 2: Pilot Migration (Weeks 9-16)</w:t>
      </w:r>
    </w:p>
    <w:p>
      <w:pPr>
        <w:numPr>
          <w:ilvl w:val="0"/>
          <w:numId w:val="1021"/>
        </w:numPr>
        <w:pStyle w:val="Compact"/>
      </w:pPr>
      <w:r>
        <w:t xml:space="preserve">Migrated the first plant’s MES (Manufacturing Execution System) workload</w:t>
      </w:r>
    </w:p>
    <w:p>
      <w:pPr>
        <w:numPr>
          <w:ilvl w:val="0"/>
          <w:numId w:val="1021"/>
        </w:numPr>
        <w:pStyle w:val="Compact"/>
      </w:pPr>
      <w:r>
        <w:t xml:space="preserve">Implemented a real-time data pipeline using Kafka for shop-floor data</w:t>
      </w:r>
    </w:p>
    <w:p>
      <w:pPr>
        <w:numPr>
          <w:ilvl w:val="0"/>
          <w:numId w:val="1021"/>
        </w:numPr>
        <w:pStyle w:val="Compact"/>
      </w:pPr>
      <w:r>
        <w:t xml:space="preserve">Deployed AKS for containerized applications</w:t>
      </w:r>
    </w:p>
    <w:p>
      <w:pPr>
        <w:numPr>
          <w:ilvl w:val="0"/>
          <w:numId w:val="1021"/>
        </w:numPr>
        <w:pStyle w:val="Compact"/>
      </w:pPr>
      <w:r>
        <w:t xml:space="preserve">Conducted full DR failover test (15-minute RTO achieved)</w:t>
      </w:r>
    </w:p>
    <w:bookmarkEnd w:id="67"/>
    <w:bookmarkStart w:id="68" w:name="phase-3-scale-weeks-17-24"/>
    <w:p>
      <w:pPr>
        <w:pStyle w:val="Heading3"/>
      </w:pPr>
      <w:r>
        <w:t xml:space="preserve">Phase 3: Scale (Weeks 17-24)</w:t>
      </w:r>
    </w:p>
    <w:p>
      <w:pPr>
        <w:numPr>
          <w:ilvl w:val="0"/>
          <w:numId w:val="1022"/>
        </w:numPr>
        <w:pStyle w:val="Compact"/>
      </w:pPr>
      <w:r>
        <w:t xml:space="preserve">Rolled out to remaining 11 plants using a factory-pattern approach</w:t>
      </w:r>
    </w:p>
    <w:p>
      <w:pPr>
        <w:numPr>
          <w:ilvl w:val="0"/>
          <w:numId w:val="1022"/>
        </w:numPr>
        <w:pStyle w:val="Compact"/>
      </w:pPr>
      <w:r>
        <w:t xml:space="preserve">Migrated their SQL Server estate to Azure SQL Managed Instance</w:t>
      </w:r>
    </w:p>
    <w:p>
      <w:pPr>
        <w:numPr>
          <w:ilvl w:val="0"/>
          <w:numId w:val="1022"/>
        </w:numPr>
        <w:pStyle w:val="Compact"/>
      </w:pPr>
      <w:r>
        <w:t xml:space="preserve">Implemented Power BI embedded analytics for plant managers</w:t>
      </w:r>
    </w:p>
    <w:p>
      <w:pPr>
        <w:numPr>
          <w:ilvl w:val="0"/>
          <w:numId w:val="1022"/>
        </w:numPr>
        <w:pStyle w:val="Compact"/>
      </w:pPr>
      <w:r>
        <w:t xml:space="preserve">Decommissioned on-premise data center</w:t>
      </w:r>
    </w:p>
    <w:bookmarkEnd w:id="68"/>
    <w:bookmarkStart w:id="69" w:name="X1c004ca4f5cc7ecf23a0f07c982e16ef8c3e6b0"/>
    <w:p>
      <w:pPr>
        <w:pStyle w:val="Heading3"/>
      </w:pPr>
      <w:r>
        <w:t xml:space="preserve">Phase 4: Optimization (Post-go-live, 12 weeks)</w:t>
      </w:r>
    </w:p>
    <w:p>
      <w:pPr>
        <w:numPr>
          <w:ilvl w:val="0"/>
          <w:numId w:val="1023"/>
        </w:numPr>
        <w:pStyle w:val="Compact"/>
      </w:pPr>
      <w:r>
        <w:t xml:space="preserve">Right-sized resources using Azure Advisor recommendations</w:t>
      </w:r>
    </w:p>
    <w:p>
      <w:pPr>
        <w:numPr>
          <w:ilvl w:val="0"/>
          <w:numId w:val="1023"/>
        </w:numPr>
        <w:pStyle w:val="Compact"/>
      </w:pPr>
      <w:r>
        <w:t xml:space="preserve">Implemented auto-scaling for batch processing workloads</w:t>
      </w:r>
    </w:p>
    <w:p>
      <w:pPr>
        <w:numPr>
          <w:ilvl w:val="0"/>
          <w:numId w:val="1023"/>
        </w:numPr>
        <w:pStyle w:val="Compact"/>
      </w:pPr>
      <w:r>
        <w:t xml:space="preserve">Negotiated Azure Reserved Instances for predictable workloads</w:t>
      </w:r>
    </w:p>
    <w:p>
      <w:pPr>
        <w:numPr>
          <w:ilvl w:val="0"/>
          <w:numId w:val="1023"/>
        </w:numPr>
        <w:pStyle w:val="Compact"/>
      </w:pPr>
      <w:r>
        <w:t xml:space="preserve">Transferred operational support to client’s internal team</w:t>
      </w:r>
    </w:p>
    <w:bookmarkEnd w:id="69"/>
    <w:bookmarkEnd w:id="70"/>
    <w:bookmarkStart w:id="71" w:name="key-decisions-1"/>
    <w:p>
      <w:pPr>
        <w:pStyle w:val="Heading2"/>
      </w:pPr>
      <w:r>
        <w:t xml:space="preserve">Key Decisions</w:t>
      </w:r>
    </w:p>
    <w:p>
      <w:pPr>
        <w:pStyle w:val="FirstParagraph"/>
      </w:pPr>
      <w:r>
        <w:rPr>
          <w:bCs/>
          <w:b/>
        </w:rPr>
        <w:t xml:space="preserve">Decision: Lift-and-shift vs. Refactor</w:t>
      </w:r>
      <w:r>
        <w:t xml:space="preserve"> </w:t>
      </w:r>
      <w:r>
        <w:t xml:space="preserve">We recommended a</w:t>
      </w:r>
      <w:r>
        <w:t xml:space="preserve"> </w:t>
      </w:r>
      <w:r>
        <w:t xml:space="preserve">“</w:t>
      </w:r>
      <w:r>
        <w:t xml:space="preserve">rehost-and-optimize</w:t>
      </w:r>
      <w:r>
        <w:t xml:space="preserve">”</w:t>
      </w:r>
      <w:r>
        <w:t xml:space="preserve"> </w:t>
      </w:r>
      <w:r>
        <w:t xml:space="preserve">approach rather than full refactoring. This balanced speed with future capability. Applications were containerized where beneficial, but not rewritten unless technical debt was critical.</w:t>
      </w:r>
    </w:p>
    <w:p>
      <w:pPr>
        <w:pStyle w:val="BodyText"/>
      </w:pPr>
      <w:r>
        <w:rPr>
          <w:bCs/>
          <w:b/>
        </w:rPr>
        <w:t xml:space="preserve">Decision: Single Cloud vs. Multi-Cloud</w:t>
      </w:r>
      <w:r>
        <w:t xml:space="preserve"> </w:t>
      </w:r>
      <w:r>
        <w:t xml:space="preserve">Standardized on Azure to leverage existing Microsoft Enterprise Agreement and internal skillset. Multi-cloud was deemed unnecessary complexity at this stage.</w:t>
      </w:r>
    </w:p>
    <w:bookmarkEnd w:id="71"/>
    <w:bookmarkStart w:id="72" w:name="outcomes-1"/>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Infrastructure Cost</w:t>
            </w:r>
          </w:p>
        </w:tc>
        <w:tc>
          <w:tcPr/>
          <w:p>
            <w:pPr>
              <w:pStyle w:val="Compact"/>
              <w:jc w:val="left"/>
            </w:pPr>
            <w:r>
              <w:t xml:space="preserve">$2.1M/year</w:t>
            </w:r>
          </w:p>
        </w:tc>
        <w:tc>
          <w:tcPr/>
          <w:p>
            <w:pPr>
              <w:pStyle w:val="Compact"/>
              <w:jc w:val="left"/>
            </w:pPr>
            <w:r>
              <w:t xml:space="preserve">$1.2M/year</w:t>
            </w:r>
          </w:p>
        </w:tc>
        <w:tc>
          <w:tcPr/>
          <w:p>
            <w:pPr>
              <w:pStyle w:val="Compact"/>
              <w:jc w:val="left"/>
            </w:pPr>
            <w:r>
              <w:rPr>
                <w:bCs/>
                <w:b/>
              </w:rPr>
              <w:t xml:space="preserve">-42%</w:t>
            </w:r>
          </w:p>
        </w:tc>
      </w:tr>
      <w:tr>
        <w:tc>
          <w:tcPr/>
          <w:p>
            <w:pPr>
              <w:pStyle w:val="Compact"/>
              <w:jc w:val="left"/>
            </w:pPr>
            <w:r>
              <w:t xml:space="preserve">System Uptime</w:t>
            </w:r>
          </w:p>
        </w:tc>
        <w:tc>
          <w:tcPr/>
          <w:p>
            <w:pPr>
              <w:pStyle w:val="Compact"/>
              <w:jc w:val="left"/>
            </w:pPr>
            <w:r>
              <w:t xml:space="preserve">99.2%</w:t>
            </w:r>
          </w:p>
        </w:tc>
        <w:tc>
          <w:tcPr/>
          <w:p>
            <w:pPr>
              <w:pStyle w:val="Compact"/>
              <w:jc w:val="left"/>
            </w:pPr>
            <w:r>
              <w:t xml:space="preserve">99.97%</w:t>
            </w:r>
          </w:p>
        </w:tc>
        <w:tc>
          <w:tcPr/>
          <w:p>
            <w:pPr>
              <w:pStyle w:val="Compact"/>
              <w:jc w:val="left"/>
            </w:pPr>
            <w:r>
              <w:rPr>
                <w:bCs/>
                <w:b/>
              </w:rPr>
              <w:t xml:space="preserve">+0.77%</w:t>
            </w:r>
          </w:p>
        </w:tc>
      </w:tr>
      <w:tr>
        <w:tc>
          <w:tcPr/>
          <w:p>
            <w:pPr>
              <w:pStyle w:val="Compact"/>
              <w:jc w:val="left"/>
            </w:pPr>
            <w:r>
              <w:t xml:space="preserve">Deployment Frequency</w:t>
            </w:r>
          </w:p>
        </w:tc>
        <w:tc>
          <w:tcPr/>
          <w:p>
            <w:pPr>
              <w:pStyle w:val="Compact"/>
              <w:jc w:val="left"/>
            </w:pPr>
            <w:r>
              <w:t xml:space="preserve">Monthly</w:t>
            </w:r>
          </w:p>
        </w:tc>
        <w:tc>
          <w:tcPr/>
          <w:p>
            <w:pPr>
              <w:pStyle w:val="Compact"/>
              <w:jc w:val="left"/>
            </w:pPr>
            <w:r>
              <w:t xml:space="preserve">Daily</w:t>
            </w:r>
          </w:p>
        </w:tc>
        <w:tc>
          <w:tcPr/>
          <w:p>
            <w:pPr>
              <w:pStyle w:val="Compact"/>
              <w:jc w:val="left"/>
            </w:pPr>
            <w:r>
              <w:rPr>
                <w:bCs/>
                <w:b/>
              </w:rPr>
              <w:t xml:space="preserve">12x</w:t>
            </w:r>
          </w:p>
        </w:tc>
      </w:tr>
      <w:tr>
        <w:tc>
          <w:tcPr/>
          <w:p>
            <w:pPr>
              <w:pStyle w:val="Compact"/>
              <w:jc w:val="left"/>
            </w:pPr>
            <w:r>
              <w:t xml:space="preserve">DR Recovery Time</w:t>
            </w:r>
          </w:p>
        </w:tc>
        <w:tc>
          <w:tcPr/>
          <w:p>
            <w:pPr>
              <w:pStyle w:val="Compact"/>
              <w:jc w:val="left"/>
            </w:pPr>
            <w:r>
              <w:t xml:space="preserve">48 hours</w:t>
            </w:r>
          </w:p>
        </w:tc>
        <w:tc>
          <w:tcPr/>
          <w:p>
            <w:pPr>
              <w:pStyle w:val="Compact"/>
              <w:jc w:val="left"/>
            </w:pPr>
            <w:r>
              <w:t xml:space="preserve">15 minutes</w:t>
            </w:r>
          </w:p>
        </w:tc>
        <w:tc>
          <w:tcPr/>
          <w:p>
            <w:pPr>
              <w:pStyle w:val="Compact"/>
              <w:jc w:val="left"/>
            </w:pPr>
            <w:r>
              <w:rPr>
                <w:bCs/>
                <w:b/>
              </w:rPr>
              <w:t xml:space="preserve">-99.5%</w:t>
            </w:r>
          </w:p>
        </w:tc>
      </w:tr>
      <w:tr>
        <w:tc>
          <w:tcPr/>
          <w:p>
            <w:pPr>
              <w:pStyle w:val="Compact"/>
              <w:jc w:val="left"/>
            </w:pPr>
            <w:r>
              <w:t xml:space="preserve">Environment Provisioning</w:t>
            </w:r>
          </w:p>
        </w:tc>
        <w:tc>
          <w:tcPr/>
          <w:p>
            <w:pPr>
              <w:pStyle w:val="Compact"/>
              <w:jc w:val="left"/>
            </w:pPr>
            <w:r>
              <w:t xml:space="preserve">2 weeks</w:t>
            </w:r>
          </w:p>
        </w:tc>
        <w:tc>
          <w:tcPr/>
          <w:p>
            <w:pPr>
              <w:pStyle w:val="Compact"/>
              <w:jc w:val="left"/>
            </w:pPr>
            <w:r>
              <w:t xml:space="preserve">30 minutes</w:t>
            </w:r>
          </w:p>
        </w:tc>
        <w:tc>
          <w:tcPr/>
          <w:p>
            <w:pPr>
              <w:pStyle w:val="Compact"/>
              <w:jc w:val="left"/>
            </w:pPr>
            <w:r>
              <w:rPr>
                <w:bCs/>
                <w:b/>
              </w:rPr>
              <w:t xml:space="preserve">-99.6%</w:t>
            </w:r>
          </w:p>
        </w:tc>
      </w:tr>
    </w:tbl>
    <w:bookmarkEnd w:id="72"/>
    <w:bookmarkStart w:id="73" w:name="client-testimonial-1"/>
    <w:p>
      <w:pPr>
        <w:pStyle w:val="Heading2"/>
      </w:pPr>
      <w:r>
        <w:t xml:space="preserve">Client Testimonial</w:t>
      </w:r>
    </w:p>
    <w:p>
      <w:pPr>
        <w:pStyle w:val="BlockText"/>
      </w:pPr>
      <w:r>
        <w:t xml:space="preserve">“</w:t>
      </w:r>
      <w:r>
        <w:t xml:space="preserve">Apex didn’t just move our servers. They moved our entire operating model. Our plant managers now have real-time visibility into operations that we couldn’t have imagined two years ago.</w:t>
      </w:r>
      <w:r>
        <w:t xml:space="preserve">”</w:t>
      </w:r>
      <w:r>
        <w:t xml:space="preserve"> </w:t>
      </w:r>
      <w:r>
        <w:t xml:space="preserve">— VP of IT, Global Auto Parts Supplier</w:t>
      </w:r>
    </w:p>
    <w:bookmarkEnd w:id="73"/>
    <w:bookmarkStart w:id="74" w:name="lessons-learned-1"/>
    <w:p>
      <w:pPr>
        <w:pStyle w:val="Heading2"/>
      </w:pPr>
      <w:r>
        <w:t xml:space="preserve">Lessons Learned</w:t>
      </w:r>
    </w:p>
    <w:p>
      <w:pPr>
        <w:numPr>
          <w:ilvl w:val="0"/>
          <w:numId w:val="1024"/>
        </w:numPr>
      </w:pPr>
      <w:r>
        <w:rPr>
          <w:bCs/>
          <w:b/>
        </w:rPr>
        <w:t xml:space="preserve">OT/IT convergence requires special care</w:t>
      </w:r>
      <w:r>
        <w:t xml:space="preserve"> </w:t>
      </w:r>
      <w:r>
        <w:t xml:space="preserve">— Manufacturing systems have uptime requirements that make typical</w:t>
      </w:r>
      <w:r>
        <w:t xml:space="preserve"> </w:t>
      </w:r>
      <w:r>
        <w:t xml:space="preserve">“</w:t>
      </w:r>
      <w:r>
        <w:t xml:space="preserve">maintenance windows</w:t>
      </w:r>
      <w:r>
        <w:t xml:space="preserve">”</w:t>
      </w:r>
      <w:r>
        <w:t xml:space="preserve"> </w:t>
      </w:r>
      <w:r>
        <w:t xml:space="preserve">impossible. We designed zero-downtime migration patterns.</w:t>
      </w:r>
    </w:p>
    <w:p>
      <w:pPr>
        <w:numPr>
          <w:ilvl w:val="0"/>
          <w:numId w:val="1024"/>
        </w:numPr>
      </w:pPr>
      <w:r>
        <w:rPr>
          <w:bCs/>
          <w:b/>
        </w:rPr>
        <w:t xml:space="preserve">Data gravity is real</w:t>
      </w:r>
      <w:r>
        <w:t xml:space="preserve"> </w:t>
      </w:r>
      <w:r>
        <w:t xml:space="preserve">— Moving 40TB of historical manufacturing data took longer than anticipated. We used Azure Data Box for the initial seeding.</w:t>
      </w:r>
    </w:p>
    <w:p>
      <w:pPr>
        <w:numPr>
          <w:ilvl w:val="0"/>
          <w:numId w:val="1024"/>
        </w:numPr>
      </w:pPr>
      <w:r>
        <w:rPr>
          <w:bCs/>
          <w:b/>
        </w:rPr>
        <w:t xml:space="preserve">Plant champions matter</w:t>
      </w:r>
      <w:r>
        <w:t xml:space="preserve"> </w:t>
      </w:r>
      <w:r>
        <w:t xml:space="preserve">— Each plant assigned a local champion who received early training. This created advocates rather than resistance.</w:t>
      </w:r>
    </w:p>
    <w:p>
      <w:r>
        <w:pict>
          <v:rect style="width:0;height:1.5pt" o:hralign="center" o:hrstd="t" o:hr="t"/>
        </w:pict>
      </w:r>
    </w:p>
    <w:bookmarkEnd w:id="74"/>
    <w:bookmarkStart w:id="75" w:name="why-apex-digital-solutions"/>
    <w:p>
      <w:pPr>
        <w:pStyle w:val="Heading2"/>
      </w:pPr>
      <w:r>
        <w:t xml:space="preserve">Why Apex Digital Solutions</w:t>
      </w:r>
    </w:p>
    <w:bookmarkEnd w:id="75"/>
    <w:bookmarkEnd w:id="76"/>
    <w:bookmarkStart w:id="86" w:name="industry-differentiators-manufacturing"/>
    <w:p>
      <w:pPr>
        <w:pStyle w:val="Heading1"/>
      </w:pPr>
      <w:r>
        <w:t xml:space="preserve">Industry Differentiators: Manufacturing</w:t>
      </w:r>
    </w:p>
    <w:bookmarkStart w:id="81" w:name="why-apex-wins-in-manufacturing"/>
    <w:p>
      <w:pPr>
        <w:pStyle w:val="Heading2"/>
      </w:pPr>
      <w:r>
        <w:t xml:space="preserve">Why Apex Wins in Manufacturing</w:t>
      </w:r>
    </w:p>
    <w:bookmarkStart w:id="77" w:name="deep-otit-convergence-expertise"/>
    <w:p>
      <w:pPr>
        <w:pStyle w:val="Heading3"/>
      </w:pPr>
      <w:r>
        <w:t xml:space="preserve">1. Deep OT/IT Convergence Expertise</w:t>
      </w:r>
    </w:p>
    <w:p>
      <w:pPr>
        <w:pStyle w:val="FirstParagraph"/>
      </w:pPr>
      <w:r>
        <w:t xml:space="preserve">Most IT consultants understand enterprise systems. We understand both enterprise systems</w:t>
      </w:r>
      <w:r>
        <w:t xml:space="preserve"> </w:t>
      </w:r>
      <w:r>
        <w:rPr>
          <w:bCs/>
          <w:b/>
        </w:rPr>
        <w:t xml:space="preserve">and</w:t>
      </w:r>
      <w:r>
        <w:t xml:space="preserve"> </w:t>
      </w:r>
      <w:r>
        <w:t xml:space="preserve">operational technology.</w:t>
      </w:r>
    </w:p>
    <w:p>
      <w:pPr>
        <w:numPr>
          <w:ilvl w:val="0"/>
          <w:numId w:val="1025"/>
        </w:numPr>
        <w:pStyle w:val="Compact"/>
      </w:pPr>
      <w:r>
        <w:rPr>
          <w:bCs/>
          <w:b/>
        </w:rPr>
        <w:t xml:space="preserve">MES Integration</w:t>
      </w:r>
      <w:r>
        <w:t xml:space="preserve">: We have integrated Oracle/SAP with Siemens Opcenter, Rockwell FactoryTalk, and GE Proficy</w:t>
      </w:r>
    </w:p>
    <w:p>
      <w:pPr>
        <w:numPr>
          <w:ilvl w:val="0"/>
          <w:numId w:val="1025"/>
        </w:numPr>
        <w:pStyle w:val="Compact"/>
      </w:pPr>
      <w:r>
        <w:rPr>
          <w:bCs/>
          <w:b/>
        </w:rPr>
        <w:t xml:space="preserve">Shop Floor Connectivity</w:t>
      </w:r>
      <w:r>
        <w:t xml:space="preserve">: Experience with MQTT, OPC-UA, and Ignition SCADA platforms</w:t>
      </w:r>
    </w:p>
    <w:p>
      <w:pPr>
        <w:numPr>
          <w:ilvl w:val="0"/>
          <w:numId w:val="1025"/>
        </w:numPr>
        <w:pStyle w:val="Compact"/>
      </w:pPr>
      <w:r>
        <w:rPr>
          <w:bCs/>
          <w:b/>
        </w:rPr>
        <w:t xml:space="preserve">Edge Computing</w:t>
      </w:r>
      <w:r>
        <w:t xml:space="preserve">: Deployed Azure IoT Edge and AWS Greengrass in production environments</w:t>
      </w:r>
    </w:p>
    <w:p>
      <w:pPr>
        <w:pStyle w:val="FirstParagraph"/>
      </w:pPr>
      <w:r>
        <w:rPr>
          <w:bCs/>
          <w:b/>
        </w:rPr>
        <w:t xml:space="preserve">Proof Point</w:t>
      </w:r>
      <w:r>
        <w:t xml:space="preserve">: Our cloud migration case study achieved 99.97% uptime for a manufacturing environment where 5 minutes of downtime costs $50,000.</w:t>
      </w:r>
    </w:p>
    <w:bookmarkEnd w:id="77"/>
    <w:bookmarkStart w:id="78" w:name="X6e2b801533474722e55081c2386f618d13762a8"/>
    <w:p>
      <w:pPr>
        <w:pStyle w:val="Heading3"/>
      </w:pPr>
      <w:r>
        <w:t xml:space="preserve">2. Regulatory Compliance as a Core Competency</w:t>
      </w:r>
    </w:p>
    <w:p>
      <w:pPr>
        <w:pStyle w:val="FirstParagraph"/>
      </w:pPr>
      <w:r>
        <w:t xml:space="preserve">Manufacturing is heavily regulated. We don’t learn compliance on your dime.</w:t>
      </w:r>
    </w:p>
    <w:p>
      <w:pPr>
        <w:numPr>
          <w:ilvl w:val="0"/>
          <w:numId w:val="1026"/>
        </w:numPr>
        <w:pStyle w:val="Compact"/>
      </w:pPr>
      <w:r>
        <w:rPr>
          <w:bCs/>
          <w:b/>
        </w:rPr>
        <w:t xml:space="preserve">FDA 21 CFR Part 11</w:t>
      </w:r>
      <w:r>
        <w:t xml:space="preserve">: Validated systems for pharmaceutical manufacturing</w:t>
      </w:r>
    </w:p>
    <w:p>
      <w:pPr>
        <w:numPr>
          <w:ilvl w:val="0"/>
          <w:numId w:val="1026"/>
        </w:numPr>
        <w:pStyle w:val="Compact"/>
      </w:pPr>
      <w:r>
        <w:rPr>
          <w:bCs/>
          <w:b/>
        </w:rPr>
        <w:t xml:space="preserve">ISO 13485</w:t>
      </w:r>
      <w:r>
        <w:t xml:space="preserve">: Medical device quality management systems</w:t>
      </w:r>
    </w:p>
    <w:p>
      <w:pPr>
        <w:numPr>
          <w:ilvl w:val="0"/>
          <w:numId w:val="1026"/>
        </w:numPr>
        <w:pStyle w:val="Compact"/>
      </w:pPr>
      <w:r>
        <w:rPr>
          <w:bCs/>
          <w:b/>
        </w:rPr>
        <w:t xml:space="preserve">ITAR/EAR</w:t>
      </w:r>
      <w:r>
        <w:t xml:space="preserve">: Export-controlled manufacturing data handling</w:t>
      </w:r>
    </w:p>
    <w:p>
      <w:pPr>
        <w:numPr>
          <w:ilvl w:val="0"/>
          <w:numId w:val="1026"/>
        </w:numPr>
        <w:pStyle w:val="Compact"/>
      </w:pPr>
      <w:r>
        <w:rPr>
          <w:bCs/>
          <w:b/>
        </w:rPr>
        <w:t xml:space="preserve">Environmental</w:t>
      </w:r>
      <w:r>
        <w:t xml:space="preserve">: EPA reporting and sustainability tracking</w:t>
      </w:r>
    </w:p>
    <w:p>
      <w:pPr>
        <w:pStyle w:val="FirstParagraph"/>
      </w:pPr>
      <w:r>
        <w:rPr>
          <w:bCs/>
          <w:b/>
        </w:rPr>
        <w:t xml:space="preserve">Proof Point</w:t>
      </w:r>
      <w:r>
        <w:t xml:space="preserve">: Implemented SOX-compliant financial controls for a $1.8B manufacturer with zero audit findings.</w:t>
      </w:r>
    </w:p>
    <w:bookmarkEnd w:id="78"/>
    <w:bookmarkStart w:id="79" w:name="supply-chain-integration-specialists"/>
    <w:p>
      <w:pPr>
        <w:pStyle w:val="Heading3"/>
      </w:pPr>
      <w:r>
        <w:t xml:space="preserve">3. Supply Chain Integration Specialists</w:t>
      </w:r>
    </w:p>
    <w:p>
      <w:pPr>
        <w:pStyle w:val="FirstParagraph"/>
      </w:pPr>
      <w:r>
        <w:t xml:space="preserve">We understand that manufacturing doesn’t happen in a vacuum.</w:t>
      </w:r>
    </w:p>
    <w:p>
      <w:pPr>
        <w:numPr>
          <w:ilvl w:val="0"/>
          <w:numId w:val="1027"/>
        </w:numPr>
        <w:pStyle w:val="Compact"/>
      </w:pPr>
      <w:r>
        <w:rPr>
          <w:bCs/>
          <w:b/>
        </w:rPr>
        <w:t xml:space="preserve">ERP-to-Supplier Integration</w:t>
      </w:r>
      <w:r>
        <w:t xml:space="preserve">: Direct integration with supplier portals (Coupa, Ariba, SAP SRM)</w:t>
      </w:r>
    </w:p>
    <w:p>
      <w:pPr>
        <w:numPr>
          <w:ilvl w:val="0"/>
          <w:numId w:val="1027"/>
        </w:numPr>
        <w:pStyle w:val="Compact"/>
      </w:pPr>
      <w:r>
        <w:rPr>
          <w:bCs/>
          <w:b/>
        </w:rPr>
        <w:t xml:space="preserve">Demand Planning</w:t>
      </w:r>
      <w:r>
        <w:t xml:space="preserve">: Connected Oracle Demand Management to shop-floor scheduling</w:t>
      </w:r>
    </w:p>
    <w:p>
      <w:pPr>
        <w:numPr>
          <w:ilvl w:val="0"/>
          <w:numId w:val="1027"/>
        </w:numPr>
        <w:pStyle w:val="Compact"/>
      </w:pPr>
      <w:r>
        <w:rPr>
          <w:bCs/>
          <w:b/>
        </w:rPr>
        <w:t xml:space="preserve">Quality Integration</w:t>
      </w:r>
      <w:r>
        <w:t xml:space="preserve">: Non-conformance reports automatically triggering supplier corrective actions</w:t>
      </w:r>
    </w:p>
    <w:p>
      <w:pPr>
        <w:pStyle w:val="FirstParagraph"/>
      </w:pPr>
      <w:r>
        <w:rPr>
          <w:bCs/>
          <w:b/>
        </w:rPr>
        <w:t xml:space="preserve">Proof Point</w:t>
      </w:r>
      <w:r>
        <w:t xml:space="preserve">: Reduced order-to-delivery cycle from 14 days to 6 days for a tier-1 automotive supplier.</w:t>
      </w:r>
    </w:p>
    <w:bookmarkEnd w:id="79"/>
    <w:bookmarkStart w:id="80" w:name="predictive-maintenance-at-scale"/>
    <w:p>
      <w:pPr>
        <w:pStyle w:val="Heading3"/>
      </w:pPr>
      <w:r>
        <w:t xml:space="preserve">4. Predictive Maintenance at Scale</w:t>
      </w:r>
    </w:p>
    <w:p>
      <w:pPr>
        <w:pStyle w:val="FirstParagraph"/>
      </w:pPr>
      <w:r>
        <w:t xml:space="preserve">We don’t just collect IoT data. We make it actionable.</w:t>
      </w:r>
    </w:p>
    <w:p>
      <w:pPr>
        <w:numPr>
          <w:ilvl w:val="0"/>
          <w:numId w:val="1028"/>
        </w:numPr>
        <w:pStyle w:val="Compact"/>
      </w:pPr>
      <w:r>
        <w:rPr>
          <w:bCs/>
          <w:b/>
        </w:rPr>
        <w:t xml:space="preserve">Azure Digital Twins</w:t>
      </w:r>
      <w:r>
        <w:t xml:space="preserve">: Built digital twin models for production lines</w:t>
      </w:r>
    </w:p>
    <w:p>
      <w:pPr>
        <w:numPr>
          <w:ilvl w:val="0"/>
          <w:numId w:val="1028"/>
        </w:numPr>
        <w:pStyle w:val="Compact"/>
      </w:pPr>
      <w:r>
        <w:rPr>
          <w:bCs/>
          <w:b/>
        </w:rPr>
        <w:t xml:space="preserve">Machine Learning</w:t>
      </w:r>
      <w:r>
        <w:t xml:space="preserve">: Deployed predictive models achieving 85% accuracy in predicting bearing failures</w:t>
      </w:r>
    </w:p>
    <w:p>
      <w:pPr>
        <w:numPr>
          <w:ilvl w:val="0"/>
          <w:numId w:val="1028"/>
        </w:numPr>
        <w:pStyle w:val="Compact"/>
      </w:pPr>
      <w:r>
        <w:rPr>
          <w:bCs/>
          <w:b/>
        </w:rPr>
        <w:t xml:space="preserve">Anomaly Detection</w:t>
      </w:r>
      <w:r>
        <w:t xml:space="preserve">: Real-time vibration and temperature monitoring with automated work order creation</w:t>
      </w:r>
    </w:p>
    <w:p>
      <w:pPr>
        <w:pStyle w:val="FirstParagraph"/>
      </w:pPr>
      <w:r>
        <w:rPr>
          <w:bCs/>
          <w:b/>
        </w:rPr>
        <w:t xml:space="preserve">Proof Point</w:t>
      </w:r>
      <w:r>
        <w:t xml:space="preserve">: Prevented $2.3M in unplanned downtime through predictive maintenance in the first 18 months.</w:t>
      </w:r>
    </w:p>
    <w:bookmarkEnd w:id="80"/>
    <w:bookmarkEnd w:id="81"/>
    <w:bookmarkStart w:id="82" w:name="common-competitor-weaknesses-we-exploit"/>
    <w:p>
      <w:pPr>
        <w:pStyle w:val="Heading2"/>
      </w:pPr>
      <w:r>
        <w:t xml:space="preserve">Common Competitor Weaknesses We Exploit</w:t>
      </w:r>
    </w:p>
    <w:tbl>
      <w:tblPr>
        <w:tblStyle w:val="Table"/>
        <w:tblW w:type="pct" w:w="5000"/>
        <w:tblLook w:firstRow="1" w:lastRow="0" w:firstColumn="0" w:lastColumn="0" w:noHBand="0" w:noVBand="0" w:val="0020"/>
        <w:jc w:val="start"/>
      </w:tblPr>
      <w:tblGrid>
        <w:gridCol w:w="2816"/>
        <w:gridCol w:w="2464"/>
        <w:gridCol w:w="2640"/>
      </w:tblGrid>
      <w:tr>
        <w:trPr>
          <w:tblHeader w:val="true"/>
        </w:trPr>
        <w:tc>
          <w:tcPr/>
          <w:p>
            <w:pPr>
              <w:pStyle w:val="Compact"/>
              <w:jc w:val="left"/>
            </w:pPr>
            <w:r>
              <w:t xml:space="preserve">Competitor Type</w:t>
            </w:r>
          </w:p>
        </w:tc>
        <w:tc>
          <w:tcPr/>
          <w:p>
            <w:pPr>
              <w:pStyle w:val="Compact"/>
              <w:jc w:val="left"/>
            </w:pPr>
            <w:r>
              <w:t xml:space="preserve">Their Weakness</w:t>
            </w:r>
          </w:p>
        </w:tc>
        <w:tc>
          <w:tcPr/>
          <w:p>
            <w:pPr>
              <w:pStyle w:val="Compact"/>
              <w:jc w:val="left"/>
            </w:pPr>
            <w:r>
              <w:t xml:space="preserve">Our Advantage</w:t>
            </w:r>
          </w:p>
        </w:tc>
      </w:tr>
      <w:tr>
        <w:tc>
          <w:tcPr/>
          <w:p>
            <w:pPr>
              <w:pStyle w:val="Compact"/>
              <w:jc w:val="left"/>
            </w:pPr>
            <w:r>
              <w:t xml:space="preserve">Big 4 Consultants</w:t>
            </w:r>
          </w:p>
        </w:tc>
        <w:tc>
          <w:tcPr/>
          <w:p>
            <w:pPr>
              <w:pStyle w:val="Compact"/>
              <w:jc w:val="left"/>
            </w:pPr>
            <w:r>
              <w:t xml:space="preserve">Junior-heavy teams, high turnover</w:t>
            </w:r>
          </w:p>
        </w:tc>
        <w:tc>
          <w:tcPr/>
          <w:p>
            <w:pPr>
              <w:pStyle w:val="Compact"/>
              <w:jc w:val="left"/>
            </w:pPr>
            <w:r>
              <w:t xml:space="preserve">Senior-only delivery, consistent team</w:t>
            </w:r>
          </w:p>
        </w:tc>
      </w:tr>
      <w:tr>
        <w:tc>
          <w:tcPr/>
          <w:p>
            <w:pPr>
              <w:pStyle w:val="Compact"/>
              <w:jc w:val="left"/>
            </w:pPr>
            <w:r>
              <w:t xml:space="preserve">Boutique Cloud Shops</w:t>
            </w:r>
          </w:p>
        </w:tc>
        <w:tc>
          <w:tcPr/>
          <w:p>
            <w:pPr>
              <w:pStyle w:val="Compact"/>
              <w:jc w:val="left"/>
            </w:pPr>
            <w:r>
              <w:t xml:space="preserve">No manufacturing domain knowledge</w:t>
            </w:r>
          </w:p>
        </w:tc>
        <w:tc>
          <w:tcPr/>
          <w:p>
            <w:pPr>
              <w:pStyle w:val="Compact"/>
              <w:jc w:val="left"/>
            </w:pPr>
            <w:r>
              <w:t xml:space="preserve">40+ manufacturing engagements completed</w:t>
            </w:r>
          </w:p>
        </w:tc>
      </w:tr>
      <w:tr>
        <w:tc>
          <w:tcPr/>
          <w:p>
            <w:pPr>
              <w:pStyle w:val="Compact"/>
              <w:jc w:val="left"/>
            </w:pPr>
            <w:r>
              <w:t xml:space="preserve">System Integrators</w:t>
            </w:r>
          </w:p>
        </w:tc>
        <w:tc>
          <w:tcPr/>
          <w:p>
            <w:pPr>
              <w:pStyle w:val="Compact"/>
              <w:jc w:val="left"/>
            </w:pPr>
            <w:r>
              <w:t xml:space="preserve">Product-first, solution-second</w:t>
            </w:r>
          </w:p>
        </w:tc>
        <w:tc>
          <w:tcPr/>
          <w:p>
            <w:pPr>
              <w:pStyle w:val="Compact"/>
              <w:jc w:val="left"/>
            </w:pPr>
            <w:r>
              <w:t xml:space="preserve">Business-outcome focused</w:t>
            </w:r>
          </w:p>
        </w:tc>
      </w:tr>
      <w:tr>
        <w:tc>
          <w:tcPr/>
          <w:p>
            <w:pPr>
              <w:pStyle w:val="Compact"/>
              <w:jc w:val="left"/>
            </w:pPr>
            <w:r>
              <w:t xml:space="preserve">Offshore-Only Firms</w:t>
            </w:r>
          </w:p>
        </w:tc>
        <w:tc>
          <w:tcPr/>
          <w:p>
            <w:pPr>
              <w:pStyle w:val="Compact"/>
              <w:jc w:val="left"/>
            </w:pPr>
            <w:r>
              <w:t xml:space="preserve">Timezone challenges, communication gaps</w:t>
            </w:r>
          </w:p>
        </w:tc>
        <w:tc>
          <w:tcPr/>
          <w:p>
            <w:pPr>
              <w:pStyle w:val="Compact"/>
              <w:jc w:val="left"/>
            </w:pPr>
            <w:r>
              <w:t xml:space="preserve">Hybrid onshore/nearshore model</w:t>
            </w:r>
          </w:p>
        </w:tc>
      </w:tr>
    </w:tbl>
    <w:bookmarkEnd w:id="82"/>
    <w:bookmarkStart w:id="84" w:name="key-statistics"/>
    <w:p>
      <w:pPr>
        <w:pStyle w:val="Heading2"/>
      </w:pPr>
      <w:r>
        <w:t xml:space="preserve">Key Statistics</w:t>
      </w:r>
    </w:p>
    <w:p>
      <w:pPr>
        <w:numPr>
          <w:ilvl w:val="0"/>
          <w:numId w:val="1029"/>
        </w:numPr>
        <w:pStyle w:val="Compact"/>
      </w:pPr>
      <w:r>
        <w:rPr>
          <w:bCs/>
          <w:b/>
        </w:rPr>
        <w:t xml:space="preserve">40+</w:t>
      </w:r>
      <w:r>
        <w:t xml:space="preserve"> </w:t>
      </w:r>
      <w:r>
        <w:t xml:space="preserve">manufacturing clients served since 2015</w:t>
      </w:r>
    </w:p>
    <w:p>
      <w:pPr>
        <w:numPr>
          <w:ilvl w:val="0"/>
          <w:numId w:val="1029"/>
        </w:numPr>
        <w:pStyle w:val="Compact"/>
      </w:pPr>
      <w:r>
        <w:rPr>
          <w:bCs/>
          <w:b/>
        </w:rPr>
        <w:t xml:space="preserve">$380M+</w:t>
      </w:r>
      <w:r>
        <w:t xml:space="preserve"> </w:t>
      </w:r>
      <w:r>
        <w:t xml:space="preserve">in manufacturing technology implementations delivered</w:t>
      </w:r>
    </w:p>
    <w:p>
      <w:pPr>
        <w:numPr>
          <w:ilvl w:val="0"/>
          <w:numId w:val="1029"/>
        </w:numPr>
        <w:pStyle w:val="Compact"/>
      </w:pPr>
      <w:r>
        <w:rPr>
          <w:bCs/>
          <w:b/>
        </w:rPr>
        <w:t xml:space="preserve">98%</w:t>
      </w:r>
      <w:r>
        <w:t xml:space="preserve"> </w:t>
      </w:r>
      <w:r>
        <w:t xml:space="preserve">client retention rate in manufacturing vertical</w:t>
      </w:r>
    </w:p>
    <w:p>
      <w:pPr>
        <w:numPr>
          <w:ilvl w:val="0"/>
          <w:numId w:val="1029"/>
        </w:numPr>
        <w:pStyle w:val="Compact"/>
      </w:pPr>
      <w:r>
        <w:rPr>
          <w:bCs/>
          <w:b/>
        </w:rPr>
        <w:t xml:space="preserve">15</w:t>
      </w:r>
      <w:r>
        <w:t xml:space="preserve"> </w:t>
      </w:r>
      <w:r>
        <w:t xml:space="preserve">manufacturing-specific accelerators and templates</w:t>
      </w:r>
    </w:p>
    <w:bookmarkStart w:id="83" w:name="our-commitment"/>
    <w:p>
      <w:pPr>
        <w:pStyle w:val="Heading3"/>
      </w:pPr>
      <w:r>
        <w:t xml:space="preserve">Our Commitment</w:t>
      </w:r>
    </w:p>
    <w:p>
      <w:pPr>
        <w:numPr>
          <w:ilvl w:val="0"/>
          <w:numId w:val="1030"/>
        </w:numPr>
        <w:pStyle w:val="Compact"/>
      </w:pPr>
      <w:r>
        <w:t xml:space="preserve">Senior-only delivery teams (15+ years experience per Principal)</w:t>
      </w:r>
    </w:p>
    <w:p>
      <w:pPr>
        <w:numPr>
          <w:ilvl w:val="0"/>
          <w:numId w:val="1030"/>
        </w:numPr>
        <w:pStyle w:val="Compact"/>
      </w:pPr>
      <w:r>
        <w:t xml:space="preserve">Business outcome focus, not just technical delivery</w:t>
      </w:r>
    </w:p>
    <w:p>
      <w:pPr>
        <w:numPr>
          <w:ilvl w:val="0"/>
          <w:numId w:val="1030"/>
        </w:numPr>
        <w:pStyle w:val="Compact"/>
      </w:pPr>
      <w:r>
        <w:t xml:space="preserve">Knowledge transfer included in every engagement</w:t>
      </w:r>
    </w:p>
    <w:p>
      <w:pPr>
        <w:numPr>
          <w:ilvl w:val="0"/>
          <w:numId w:val="1030"/>
        </w:numPr>
        <w:pStyle w:val="Compact"/>
      </w:pPr>
      <w:r>
        <w:t xml:space="preserve">98% client retention rate in manufacturing vertical</w:t>
      </w:r>
    </w:p>
    <w:p>
      <w:r>
        <w:pict>
          <v:rect style="width:0;height:1.5pt" o:hralign="center" o:hrstd="t" o:hr="t"/>
        </w:pict>
      </w:r>
    </w:p>
    <w:bookmarkEnd w:id="83"/>
    <w:bookmarkEnd w:id="84"/>
    <w:bookmarkStart w:id="85" w:name="investment-summary"/>
    <w:p>
      <w:pPr>
        <w:pStyle w:val="Heading2"/>
      </w:pPr>
      <w:r>
        <w:t xml:space="preserve">Investment Summary</w:t>
      </w:r>
    </w:p>
    <w:bookmarkEnd w:id="85"/>
    <w:bookmarkEnd w:id="86"/>
    <w:bookmarkStart w:id="101" w:name="daily-rate-card"/>
    <w:p>
      <w:pPr>
        <w:pStyle w:val="Heading1"/>
      </w:pPr>
      <w:r>
        <w:t xml:space="preserve">Daily Rate Card</w:t>
      </w:r>
    </w:p>
    <w:bookmarkStart w:id="87" w:name="executive-leadership"/>
    <w:p>
      <w:pPr>
        <w:pStyle w:val="Heading2"/>
      </w:pPr>
      <w:r>
        <w:t xml:space="preserve">Executive &amp; Leadership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Managing Partner</w:t>
            </w:r>
          </w:p>
        </w:tc>
        <w:tc>
          <w:tcPr/>
          <w:p>
            <w:pPr>
              <w:pStyle w:val="Compact"/>
              <w:jc w:val="left"/>
            </w:pPr>
            <w:r>
              <w:t xml:space="preserve">$2,400</w:t>
            </w:r>
          </w:p>
        </w:tc>
        <w:tc>
          <w:tcPr/>
          <w:p>
            <w:pPr>
              <w:pStyle w:val="Compact"/>
              <w:jc w:val="left"/>
            </w:pPr>
            <w:r>
              <w:t xml:space="preserve">$1,560</w:t>
            </w:r>
          </w:p>
        </w:tc>
        <w:tc>
          <w:tcPr/>
          <w:p>
            <w:pPr>
              <w:pStyle w:val="Compact"/>
              <w:jc w:val="left"/>
            </w:pPr>
            <w:r>
              <w:t xml:space="preserve">$1,080</w:t>
            </w:r>
          </w:p>
        </w:tc>
      </w:tr>
      <w:tr>
        <w:tc>
          <w:tcPr/>
          <w:p>
            <w:pPr>
              <w:pStyle w:val="Compact"/>
              <w:jc w:val="left"/>
            </w:pPr>
            <w:r>
              <w:t xml:space="preserve">Engagement Manager</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Program Director</w:t>
            </w:r>
          </w:p>
        </w:tc>
        <w:tc>
          <w:tcPr/>
          <w:p>
            <w:pPr>
              <w:pStyle w:val="Compact"/>
              <w:jc w:val="left"/>
            </w:pPr>
            <w:r>
              <w:t xml:space="preserve">$2,000</w:t>
            </w:r>
          </w:p>
        </w:tc>
        <w:tc>
          <w:tcPr/>
          <w:p>
            <w:pPr>
              <w:pStyle w:val="Compact"/>
              <w:jc w:val="left"/>
            </w:pPr>
            <w:r>
              <w:t xml:space="preserve">$1,300</w:t>
            </w:r>
          </w:p>
        </w:tc>
        <w:tc>
          <w:tcPr/>
          <w:p>
            <w:pPr>
              <w:pStyle w:val="Compact"/>
              <w:jc w:val="left"/>
            </w:pPr>
            <w:r>
              <w:t xml:space="preserve">$900</w:t>
            </w:r>
          </w:p>
        </w:tc>
      </w:tr>
    </w:tbl>
    <w:bookmarkEnd w:id="87"/>
    <w:bookmarkStart w:id="88" w:name="architecture-strategy"/>
    <w:p>
      <w:pPr>
        <w:pStyle w:val="Heading2"/>
      </w:pPr>
      <w:r>
        <w:t xml:space="preserve">Architecture &amp;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Solution Architect</w:t>
            </w:r>
          </w:p>
        </w:tc>
        <w:tc>
          <w:tcPr/>
          <w:p>
            <w:pPr>
              <w:pStyle w:val="Compact"/>
              <w:jc w:val="left"/>
            </w:pPr>
            <w:r>
              <w:t xml:space="preserve">$1,600</w:t>
            </w:r>
          </w:p>
        </w:tc>
        <w:tc>
          <w:tcPr/>
          <w:p>
            <w:pPr>
              <w:pStyle w:val="Compact"/>
              <w:jc w:val="left"/>
            </w:pPr>
            <w:r>
              <w:t xml:space="preserve">$1,040</w:t>
            </w:r>
          </w:p>
        </w:tc>
        <w:tc>
          <w:tcPr/>
          <w:p>
            <w:pPr>
              <w:pStyle w:val="Compact"/>
              <w:jc w:val="left"/>
            </w:pPr>
            <w:r>
              <w:t xml:space="preserve">$720</w:t>
            </w:r>
          </w:p>
        </w:tc>
      </w:tr>
      <w:tr>
        <w:tc>
          <w:tcPr/>
          <w:p>
            <w:pPr>
              <w:pStyle w:val="Compact"/>
              <w:jc w:val="left"/>
            </w:pPr>
            <w:r>
              <w:t xml:space="preserve">Enterprise Architect</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Data Architect</w:t>
            </w:r>
          </w:p>
        </w:tc>
        <w:tc>
          <w:tcPr/>
          <w:p>
            <w:pPr>
              <w:pStyle w:val="Compact"/>
              <w:jc w:val="left"/>
            </w:pPr>
            <w:r>
              <w:t xml:space="preserve">$1,550</w:t>
            </w:r>
          </w:p>
        </w:tc>
        <w:tc>
          <w:tcPr/>
          <w:p>
            <w:pPr>
              <w:pStyle w:val="Compact"/>
              <w:jc w:val="left"/>
            </w:pPr>
            <w:r>
              <w:t xml:space="preserve">$1,008</w:t>
            </w:r>
          </w:p>
        </w:tc>
        <w:tc>
          <w:tcPr/>
          <w:p>
            <w:pPr>
              <w:pStyle w:val="Compact"/>
              <w:jc w:val="left"/>
            </w:pPr>
            <w:r>
              <w:t xml:space="preserve">$698</w:t>
            </w:r>
          </w:p>
        </w:tc>
      </w:tr>
      <w:tr>
        <w:tc>
          <w:tcPr/>
          <w:p>
            <w:pPr>
              <w:pStyle w:val="Compact"/>
              <w:jc w:val="left"/>
            </w:pPr>
            <w:r>
              <w:t xml:space="preserve">Security Architect</w:t>
            </w:r>
          </w:p>
        </w:tc>
        <w:tc>
          <w:tcPr/>
          <w:p>
            <w:pPr>
              <w:pStyle w:val="Compact"/>
              <w:jc w:val="left"/>
            </w:pPr>
            <w:r>
              <w:t xml:space="preserve">$1,700</w:t>
            </w:r>
          </w:p>
        </w:tc>
        <w:tc>
          <w:tcPr/>
          <w:p>
            <w:pPr>
              <w:pStyle w:val="Compact"/>
              <w:jc w:val="left"/>
            </w:pPr>
            <w:r>
              <w:t xml:space="preserve">$1,105</w:t>
            </w:r>
          </w:p>
        </w:tc>
        <w:tc>
          <w:tcPr/>
          <w:p>
            <w:pPr>
              <w:pStyle w:val="Compact"/>
              <w:jc w:val="left"/>
            </w:pPr>
            <w:r>
              <w:t xml:space="preserve">$765</w:t>
            </w:r>
          </w:p>
        </w:tc>
      </w:tr>
    </w:tbl>
    <w:bookmarkEnd w:id="88"/>
    <w:bookmarkStart w:id="89" w:name="implementation-delivery"/>
    <w:p>
      <w:pPr>
        <w:pStyle w:val="Heading2"/>
      </w:pPr>
      <w:r>
        <w:t xml:space="preserve">Implementation &amp; Delivery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Senior Consultant</w:t>
            </w:r>
          </w:p>
        </w:tc>
        <w:tc>
          <w:tcPr/>
          <w:p>
            <w:pPr>
              <w:pStyle w:val="Compact"/>
              <w:jc w:val="left"/>
            </w:pPr>
            <w:r>
              <w:t xml:space="preserve">$1,400</w:t>
            </w:r>
          </w:p>
        </w:tc>
        <w:tc>
          <w:tcPr/>
          <w:p>
            <w:pPr>
              <w:pStyle w:val="Compact"/>
              <w:jc w:val="left"/>
            </w:pPr>
            <w:r>
              <w:t xml:space="preserve">$910</w:t>
            </w:r>
          </w:p>
        </w:tc>
        <w:tc>
          <w:tcPr/>
          <w:p>
            <w:pPr>
              <w:pStyle w:val="Compact"/>
              <w:jc w:val="left"/>
            </w:pPr>
            <w:r>
              <w:t xml:space="preserve">$630</w:t>
            </w:r>
          </w:p>
        </w:tc>
      </w:tr>
      <w:tr>
        <w:tc>
          <w:tcPr/>
          <w:p>
            <w:pPr>
              <w:pStyle w:val="Compact"/>
              <w:jc w:val="left"/>
            </w:pPr>
            <w:r>
              <w:t xml:space="preserve">Consultant</w:t>
            </w:r>
          </w:p>
        </w:tc>
        <w:tc>
          <w:tcPr/>
          <w:p>
            <w:pPr>
              <w:pStyle w:val="Compact"/>
              <w:jc w:val="left"/>
            </w:pPr>
            <w:r>
              <w:t xml:space="preserve">$1,100</w:t>
            </w:r>
          </w:p>
        </w:tc>
        <w:tc>
          <w:tcPr/>
          <w:p>
            <w:pPr>
              <w:pStyle w:val="Compact"/>
              <w:jc w:val="left"/>
            </w:pPr>
            <w:r>
              <w:t xml:space="preserve">$715</w:t>
            </w:r>
          </w:p>
        </w:tc>
        <w:tc>
          <w:tcPr/>
          <w:p>
            <w:pPr>
              <w:pStyle w:val="Compact"/>
              <w:jc w:val="left"/>
            </w:pPr>
            <w:r>
              <w:t xml:space="preserve">$495</w:t>
            </w:r>
          </w:p>
        </w:tc>
      </w:tr>
      <w:tr>
        <w:tc>
          <w:tcPr/>
          <w:p>
            <w:pPr>
              <w:pStyle w:val="Compact"/>
              <w:jc w:val="left"/>
            </w:pPr>
            <w:r>
              <w:t xml:space="preserve">Analyst</w:t>
            </w:r>
          </w:p>
        </w:tc>
        <w:tc>
          <w:tcPr/>
          <w:p>
            <w:pPr>
              <w:pStyle w:val="Compact"/>
              <w:jc w:val="left"/>
            </w:pPr>
            <w:r>
              <w:t xml:space="preserve">$800</w:t>
            </w:r>
          </w:p>
        </w:tc>
        <w:tc>
          <w:tcPr/>
          <w:p>
            <w:pPr>
              <w:pStyle w:val="Compact"/>
              <w:jc w:val="left"/>
            </w:pPr>
            <w:r>
              <w:t xml:space="preserve">$520</w:t>
            </w:r>
          </w:p>
        </w:tc>
        <w:tc>
          <w:tcPr/>
          <w:p>
            <w:pPr>
              <w:pStyle w:val="Compact"/>
              <w:jc w:val="left"/>
            </w:pPr>
            <w:r>
              <w:t xml:space="preserve">$360</w:t>
            </w:r>
          </w:p>
        </w:tc>
      </w:tr>
      <w:tr>
        <w:tc>
          <w:tcPr/>
          <w:p>
            <w:pPr>
              <w:pStyle w:val="Compact"/>
              <w:jc w:val="left"/>
            </w:pPr>
            <w:r>
              <w:t xml:space="preserve">Developer</w:t>
            </w:r>
          </w:p>
        </w:tc>
        <w:tc>
          <w:tcPr/>
          <w:p>
            <w:pPr>
              <w:pStyle w:val="Compact"/>
              <w:jc w:val="left"/>
            </w:pPr>
            <w:r>
              <w:t xml:space="preserve">$1,000</w:t>
            </w:r>
          </w:p>
        </w:tc>
        <w:tc>
          <w:tcPr/>
          <w:p>
            <w:pPr>
              <w:pStyle w:val="Compact"/>
              <w:jc w:val="left"/>
            </w:pPr>
            <w:r>
              <w:t xml:space="preserve">$650</w:t>
            </w:r>
          </w:p>
        </w:tc>
        <w:tc>
          <w:tcPr/>
          <w:p>
            <w:pPr>
              <w:pStyle w:val="Compact"/>
              <w:jc w:val="left"/>
            </w:pPr>
            <w:r>
              <w:t xml:space="preserve">$450</w:t>
            </w:r>
          </w:p>
        </w:tc>
      </w:tr>
      <w:tr>
        <w:tc>
          <w:tcPr/>
          <w:p>
            <w:pPr>
              <w:pStyle w:val="Compact"/>
              <w:jc w:val="left"/>
            </w:pPr>
            <w:r>
              <w:t xml:space="preserve">QA Engineer</w:t>
            </w:r>
          </w:p>
        </w:tc>
        <w:tc>
          <w:tcPr/>
          <w:p>
            <w:pPr>
              <w:pStyle w:val="Compact"/>
              <w:jc w:val="left"/>
            </w:pPr>
            <w:r>
              <w:t xml:space="preserve">$900</w:t>
            </w:r>
          </w:p>
        </w:tc>
        <w:tc>
          <w:tcPr/>
          <w:p>
            <w:pPr>
              <w:pStyle w:val="Compact"/>
              <w:jc w:val="left"/>
            </w:pPr>
            <w:r>
              <w:t xml:space="preserve">$585</w:t>
            </w:r>
          </w:p>
        </w:tc>
        <w:tc>
          <w:tcPr/>
          <w:p>
            <w:pPr>
              <w:pStyle w:val="Compact"/>
              <w:jc w:val="left"/>
            </w:pPr>
            <w:r>
              <w:t xml:space="preserve">$405</w:t>
            </w:r>
          </w:p>
        </w:tc>
      </w:tr>
      <w:tr>
        <w:tc>
          <w:tcPr/>
          <w:p>
            <w:pPr>
              <w:pStyle w:val="Compact"/>
              <w:jc w:val="left"/>
            </w:pPr>
            <w:r>
              <w:t xml:space="preserve">DevOps Engineer</w:t>
            </w:r>
          </w:p>
        </w:tc>
        <w:tc>
          <w:tcPr/>
          <w:p>
            <w:pPr>
              <w:pStyle w:val="Compact"/>
              <w:jc w:val="left"/>
            </w:pPr>
            <w:r>
              <w:t xml:space="preserve">$1,200</w:t>
            </w:r>
          </w:p>
        </w:tc>
        <w:tc>
          <w:tcPr/>
          <w:p>
            <w:pPr>
              <w:pStyle w:val="Compact"/>
              <w:jc w:val="left"/>
            </w:pPr>
            <w:r>
              <w:t xml:space="preserve">$780</w:t>
            </w:r>
          </w:p>
        </w:tc>
        <w:tc>
          <w:tcPr/>
          <w:p>
            <w:pPr>
              <w:pStyle w:val="Compact"/>
              <w:jc w:val="left"/>
            </w:pPr>
            <w:r>
              <w:t xml:space="preserve">$540</w:t>
            </w:r>
          </w:p>
        </w:tc>
      </w:tr>
    </w:tbl>
    <w:bookmarkEnd w:id="89"/>
    <w:bookmarkStart w:id="90" w:name="specialty-roles"/>
    <w:p>
      <w:pPr>
        <w:pStyle w:val="Heading2"/>
      </w:pPr>
      <w:r>
        <w:t xml:space="preserve">Specialty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Oracle Cloud Specialist</w:t>
            </w:r>
          </w:p>
        </w:tc>
        <w:tc>
          <w:tcPr/>
          <w:p>
            <w:pPr>
              <w:pStyle w:val="Compact"/>
              <w:jc w:val="left"/>
            </w:pPr>
            <w:r>
              <w:t xml:space="preserve">$1,500</w:t>
            </w:r>
          </w:p>
        </w:tc>
        <w:tc>
          <w:tcPr/>
          <w:p>
            <w:pPr>
              <w:pStyle w:val="Compact"/>
              <w:jc w:val="left"/>
            </w:pPr>
            <w:r>
              <w:t xml:space="preserve">$975</w:t>
            </w:r>
          </w:p>
        </w:tc>
        <w:tc>
          <w:tcPr/>
          <w:p>
            <w:pPr>
              <w:pStyle w:val="Compact"/>
              <w:jc w:val="left"/>
            </w:pPr>
            <w:r>
              <w:t xml:space="preserve">$675</w:t>
            </w:r>
          </w:p>
        </w:tc>
      </w:tr>
      <w:tr>
        <w:tc>
          <w:tcPr/>
          <w:p>
            <w:pPr>
              <w:pStyle w:val="Compact"/>
              <w:jc w:val="left"/>
            </w:pPr>
            <w:r>
              <w:t xml:space="preserve">SAP Functional Lead</w:t>
            </w:r>
          </w:p>
        </w:tc>
        <w:tc>
          <w:tcPr/>
          <w:p>
            <w:pPr>
              <w:pStyle w:val="Compact"/>
              <w:jc w:val="left"/>
            </w:pPr>
            <w:r>
              <w:t xml:space="preserve">$1,450</w:t>
            </w:r>
          </w:p>
        </w:tc>
        <w:tc>
          <w:tcPr/>
          <w:p>
            <w:pPr>
              <w:pStyle w:val="Compact"/>
              <w:jc w:val="left"/>
            </w:pPr>
            <w:r>
              <w:t xml:space="preserve">$943</w:t>
            </w:r>
          </w:p>
        </w:tc>
        <w:tc>
          <w:tcPr/>
          <w:p>
            <w:pPr>
              <w:pStyle w:val="Compact"/>
              <w:jc w:val="left"/>
            </w:pPr>
            <w:r>
              <w:t xml:space="preserve">$653</w:t>
            </w:r>
          </w:p>
        </w:tc>
      </w:tr>
      <w:tr>
        <w:tc>
          <w:tcPr/>
          <w:p>
            <w:pPr>
              <w:pStyle w:val="Compact"/>
              <w:jc w:val="left"/>
            </w:pPr>
            <w:r>
              <w:t xml:space="preserve">Data Engineer</w:t>
            </w:r>
          </w:p>
        </w:tc>
        <w:tc>
          <w:tcPr/>
          <w:p>
            <w:pPr>
              <w:pStyle w:val="Compact"/>
              <w:jc w:val="left"/>
            </w:pPr>
            <w:r>
              <w:t xml:space="preserve">$1,250</w:t>
            </w:r>
          </w:p>
        </w:tc>
        <w:tc>
          <w:tcPr/>
          <w:p>
            <w:pPr>
              <w:pStyle w:val="Compact"/>
              <w:jc w:val="left"/>
            </w:pPr>
            <w:r>
              <w:t xml:space="preserve">$813</w:t>
            </w:r>
          </w:p>
        </w:tc>
        <w:tc>
          <w:tcPr/>
          <w:p>
            <w:pPr>
              <w:pStyle w:val="Compact"/>
              <w:jc w:val="left"/>
            </w:pPr>
            <w:r>
              <w:t xml:space="preserve">$563</w:t>
            </w:r>
          </w:p>
        </w:tc>
      </w:tr>
      <w:tr>
        <w:tc>
          <w:tcPr/>
          <w:p>
            <w:pPr>
              <w:pStyle w:val="Compact"/>
              <w:jc w:val="left"/>
            </w:pPr>
            <w:r>
              <w:t xml:space="preserve">Change Management Lead</w:t>
            </w:r>
          </w:p>
        </w:tc>
        <w:tc>
          <w:tcPr/>
          <w:p>
            <w:pPr>
              <w:pStyle w:val="Compact"/>
              <w:jc w:val="left"/>
            </w:pPr>
            <w:r>
              <w:t xml:space="preserve">$1,300</w:t>
            </w:r>
          </w:p>
        </w:tc>
        <w:tc>
          <w:tcPr/>
          <w:p>
            <w:pPr>
              <w:pStyle w:val="Compact"/>
              <w:jc w:val="left"/>
            </w:pPr>
            <w:r>
              <w:t xml:space="preserve">$845</w:t>
            </w:r>
          </w:p>
        </w:tc>
        <w:tc>
          <w:tcPr/>
          <w:p>
            <w:pPr>
              <w:pStyle w:val="Compact"/>
              <w:jc w:val="left"/>
            </w:pPr>
            <w:r>
              <w:t xml:space="preserve">$585</w:t>
            </w:r>
          </w:p>
        </w:tc>
      </w:tr>
      <w:tr>
        <w:tc>
          <w:tcPr/>
          <w:p>
            <w:pPr>
              <w:pStyle w:val="Compact"/>
              <w:jc w:val="left"/>
            </w:pPr>
            <w:r>
              <w:t xml:space="preserve">UX/UI Designer</w:t>
            </w:r>
          </w:p>
        </w:tc>
        <w:tc>
          <w:tcPr/>
          <w:p>
            <w:pPr>
              <w:pStyle w:val="Compact"/>
              <w:jc w:val="left"/>
            </w:pPr>
            <w:r>
              <w:t xml:space="preserve">$1,050</w:t>
            </w:r>
          </w:p>
        </w:tc>
        <w:tc>
          <w:tcPr/>
          <w:p>
            <w:pPr>
              <w:pStyle w:val="Compact"/>
              <w:jc w:val="left"/>
            </w:pPr>
            <w:r>
              <w:t xml:space="preserve">$683</w:t>
            </w:r>
          </w:p>
        </w:tc>
        <w:tc>
          <w:tcPr/>
          <w:p>
            <w:pPr>
              <w:pStyle w:val="Compact"/>
              <w:jc w:val="left"/>
            </w:pPr>
            <w:r>
              <w:t xml:space="preserve">$473</w:t>
            </w:r>
          </w:p>
        </w:tc>
      </w:tr>
    </w:tbl>
    <w:bookmarkEnd w:id="90"/>
    <w:bookmarkStart w:id="94" w:name="rate-notes"/>
    <w:p>
      <w:pPr>
        <w:pStyle w:val="Heading2"/>
      </w:pPr>
      <w:r>
        <w:t xml:space="preserve">Rate Notes</w:t>
      </w:r>
    </w:p>
    <w:p>
      <w:pPr>
        <w:numPr>
          <w:ilvl w:val="0"/>
          <w:numId w:val="1031"/>
        </w:numPr>
        <w:pStyle w:val="Compact"/>
      </w:pPr>
      <w:r>
        <w:rPr>
          <w:bCs/>
          <w:b/>
        </w:rPr>
        <w:t xml:space="preserve">Onshore</w:t>
      </w:r>
      <w:r>
        <w:t xml:space="preserve">: US-based consultants, typically on-site or hybrid</w:t>
      </w:r>
    </w:p>
    <w:p>
      <w:pPr>
        <w:numPr>
          <w:ilvl w:val="0"/>
          <w:numId w:val="1031"/>
        </w:numPr>
        <w:pStyle w:val="Compact"/>
      </w:pPr>
      <w:r>
        <w:rPr>
          <w:bCs/>
          <w:b/>
        </w:rPr>
        <w:t xml:space="preserve">Nearshore</w:t>
      </w:r>
      <w:r>
        <w:t xml:space="preserve">: Mexico, Canada, Costa Rica — same timezone, bilingual</w:t>
      </w:r>
    </w:p>
    <w:p>
      <w:pPr>
        <w:numPr>
          <w:ilvl w:val="0"/>
          <w:numId w:val="1031"/>
        </w:numPr>
        <w:pStyle w:val="Compact"/>
      </w:pPr>
      <w:r>
        <w:rPr>
          <w:bCs/>
          <w:b/>
        </w:rPr>
        <w:t xml:space="preserve">Offshore</w:t>
      </w:r>
      <w:r>
        <w:t xml:space="preserve">: India, Philippines, Poland — overnight delivery model</w:t>
      </w:r>
    </w:p>
    <w:p>
      <w:pPr>
        <w:numPr>
          <w:ilvl w:val="0"/>
          <w:numId w:val="1031"/>
        </w:numPr>
        <w:pStyle w:val="Compact"/>
      </w:pPr>
      <w:r>
        <w:t xml:space="preserve">All rates are</w:t>
      </w:r>
      <w:r>
        <w:t xml:space="preserve"> </w:t>
      </w:r>
      <w:r>
        <w:rPr>
          <w:bCs/>
          <w:b/>
        </w:rPr>
        <w:t xml:space="preserve">per day</w:t>
      </w:r>
      <w:r>
        <w:t xml:space="preserve"> </w:t>
      </w:r>
      <w:r>
        <w:t xml:space="preserve">(8 hours) and exclude expenses</w:t>
      </w:r>
    </w:p>
    <w:p>
      <w:pPr>
        <w:numPr>
          <w:ilvl w:val="0"/>
          <w:numId w:val="1031"/>
        </w:numPr>
        <w:pStyle w:val="Compact"/>
      </w:pPr>
      <w:r>
        <w:t xml:space="preserve">Volume discounts available for engagements &gt; $500K</w:t>
      </w:r>
    </w:p>
    <w:p>
      <w:pPr>
        <w:numPr>
          <w:ilvl w:val="0"/>
          <w:numId w:val="1031"/>
        </w:numPr>
        <w:pStyle w:val="Compact"/>
      </w:pPr>
      <w:r>
        <w:t xml:space="preserve">Rate holds for 12 months from effective date</w:t>
      </w:r>
    </w:p>
    <w:bookmarkStart w:id="91" w:name="cost-breakdown"/>
    <w:p>
      <w:pPr>
        <w:pStyle w:val="Heading3"/>
      </w:pPr>
      <w:r>
        <w:t xml:space="preserve">Cost Breakdown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Professional Services</w:t>
            </w:r>
          </w:p>
        </w:tc>
        <w:tc>
          <w:tcPr/>
          <w:p>
            <w:pPr>
              <w:pStyle w:val="Compact"/>
              <w:jc w:val="left"/>
            </w:pPr>
            <w:r>
              <w:t xml:space="preserve">$875,000</w:t>
            </w:r>
          </w:p>
        </w:tc>
      </w:tr>
      <w:tr>
        <w:tc>
          <w:tcPr/>
          <w:p>
            <w:pPr>
              <w:pStyle w:val="Compact"/>
              <w:jc w:val="left"/>
            </w:pPr>
            <w:r>
              <w:t xml:space="preserve">Software &amp; Licenses</w:t>
            </w:r>
          </w:p>
        </w:tc>
        <w:tc>
          <w:tcPr/>
          <w:p>
            <w:pPr>
              <w:pStyle w:val="Compact"/>
              <w:jc w:val="left"/>
            </w:pPr>
            <w:r>
              <w:t xml:space="preserve">$0</w:t>
            </w:r>
          </w:p>
        </w:tc>
      </w:tr>
      <w:tr>
        <w:tc>
          <w:tcPr/>
          <w:p>
            <w:pPr>
              <w:pStyle w:val="Compact"/>
              <w:jc w:val="left"/>
            </w:pPr>
            <w:r>
              <w:t xml:space="preserve">Training &amp; Change Management</w:t>
            </w:r>
          </w:p>
        </w:tc>
        <w:tc>
          <w:tcPr/>
          <w:p>
            <w:pPr>
              <w:pStyle w:val="Compact"/>
              <w:jc w:val="left"/>
            </w:pPr>
            <w:r>
              <w:t xml:space="preserve">$50,750</w:t>
            </w:r>
          </w:p>
        </w:tc>
      </w:tr>
      <w:tr>
        <w:tc>
          <w:tcPr/>
          <w:p>
            <w:pPr>
              <w:pStyle w:val="Compact"/>
              <w:jc w:val="left"/>
            </w:pPr>
            <w:r>
              <w:t xml:space="preserve">Travel &amp; Expenses</w:t>
            </w:r>
          </w:p>
        </w:tc>
        <w:tc>
          <w:tcPr/>
          <w:p>
            <w:pPr>
              <w:pStyle w:val="Compact"/>
              <w:jc w:val="left"/>
            </w:pPr>
            <w:r>
              <w:t xml:space="preserve">$50,750</w:t>
            </w:r>
          </w:p>
        </w:tc>
      </w:tr>
      <w:tr>
        <w:tc>
          <w:tcPr/>
          <w:p>
            <w:pPr>
              <w:pStyle w:val="Compact"/>
              <w:jc w:val="left"/>
            </w:pPr>
            <w:r>
              <w:rPr>
                <w:bCs/>
                <w:b/>
              </w:rPr>
              <w:t xml:space="preserve">Total Investment</w:t>
            </w:r>
          </w:p>
        </w:tc>
        <w:tc>
          <w:tcPr/>
          <w:p>
            <w:pPr>
              <w:pStyle w:val="Compact"/>
              <w:jc w:val="left"/>
            </w:pPr>
            <w:r>
              <w:rPr>
                <w:bCs/>
                <w:b/>
              </w:rPr>
              <w:t xml:space="preserve">$1,015,000</w:t>
            </w:r>
          </w:p>
        </w:tc>
      </w:tr>
    </w:tbl>
    <w:bookmarkEnd w:id="91"/>
    <w:bookmarkStart w:id="92" w:name="payment-milestones"/>
    <w:p>
      <w:pPr>
        <w:pStyle w:val="Heading3"/>
      </w:pPr>
      <w:r>
        <w:t xml:space="preserve">Payment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10%</w:t>
            </w:r>
          </w:p>
        </w:tc>
        <w:tc>
          <w:tcPr/>
          <w:p>
            <w:pPr>
              <w:pStyle w:val="Compact"/>
              <w:jc w:val="left"/>
            </w:pPr>
            <w:r>
              <w:t xml:space="preserve">Project kickoff and setup</w:t>
            </w:r>
          </w:p>
        </w:tc>
        <w:tc>
          <w:tcPr/>
          <w:p>
            <w:pPr>
              <w:pStyle w:val="Compact"/>
              <w:jc w:val="left"/>
            </w:pPr>
            <w:r>
              <w:t xml:space="preserve">$101,500</w:t>
            </w:r>
          </w:p>
        </w:tc>
      </w:tr>
      <w:tr>
        <w:tc>
          <w:tcPr/>
          <w:p>
            <w:pPr>
              <w:pStyle w:val="Compact"/>
              <w:jc w:val="left"/>
            </w:pPr>
            <w:r>
              <w:t xml:space="preserve">15%</w:t>
            </w:r>
          </w:p>
        </w:tc>
        <w:tc>
          <w:tcPr/>
          <w:p>
            <w:pPr>
              <w:pStyle w:val="Compact"/>
              <w:jc w:val="left"/>
            </w:pPr>
            <w:r>
              <w:t xml:space="preserve">Discover phase completion and design approval</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Plan phase completion and environment ready</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Pilot facility go-live acceptance</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Wave 1 go-live acceptance (3 facilities)</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Wave 2 go-live acceptance and final acceptance</w:t>
            </w:r>
          </w:p>
        </w:tc>
        <w:tc>
          <w:tcPr/>
          <w:p>
            <w:pPr>
              <w:pStyle w:val="Compact"/>
              <w:jc w:val="left"/>
            </w:pPr>
            <w:r>
              <w:t xml:space="preserve">$152,250</w:t>
            </w:r>
          </w:p>
        </w:tc>
      </w:tr>
      <w:tr>
        <w:tc>
          <w:tcPr/>
          <w:p>
            <w:pPr>
              <w:pStyle w:val="Compact"/>
              <w:jc w:val="left"/>
            </w:pPr>
            <w:r>
              <w:t xml:space="preserve">5%</w:t>
            </w:r>
          </w:p>
        </w:tc>
        <w:tc>
          <w:tcPr/>
          <w:p>
            <w:pPr>
              <w:pStyle w:val="Compact"/>
              <w:jc w:val="left"/>
            </w:pPr>
            <w:r>
              <w:t xml:space="preserve">Project closure and knowledge transfer completion</w:t>
            </w:r>
          </w:p>
        </w:tc>
        <w:tc>
          <w:tcPr/>
          <w:p>
            <w:pPr>
              <w:pStyle w:val="Compact"/>
              <w:jc w:val="left"/>
            </w:pPr>
            <w:r>
              <w:t xml:space="preserve">$50,750</w:t>
            </w:r>
          </w:p>
        </w:tc>
      </w:tr>
    </w:tbl>
    <w:bookmarkEnd w:id="92"/>
    <w:bookmarkStart w:id="93" w:name="commercial-terms"/>
    <w:p>
      <w:pPr>
        <w:pStyle w:val="Heading3"/>
      </w:pPr>
      <w:r>
        <w:t xml:space="preserve">Commercial Terms</w:t>
      </w:r>
    </w:p>
    <w:p>
      <w:pPr>
        <w:numPr>
          <w:ilvl w:val="0"/>
          <w:numId w:val="1032"/>
        </w:numPr>
        <w:pStyle w:val="Compact"/>
      </w:pPr>
      <w:r>
        <w:rPr>
          <w:bCs/>
          <w:b/>
        </w:rPr>
        <w:t xml:space="preserve">Validity</w:t>
      </w:r>
      <w:r>
        <w:t xml:space="preserve">: 120 days from proposal date</w:t>
      </w:r>
    </w:p>
    <w:p>
      <w:pPr>
        <w:numPr>
          <w:ilvl w:val="0"/>
          <w:numId w:val="1032"/>
        </w:numPr>
        <w:pStyle w:val="Compact"/>
      </w:pPr>
      <w:r>
        <w:rPr>
          <w:bCs/>
          <w:b/>
        </w:rPr>
        <w:t xml:space="preserve">Warranty</w:t>
      </w:r>
      <w:r>
        <w:t xml:space="preserve">: 12 months from final acceptance</w:t>
      </w:r>
    </w:p>
    <w:p>
      <w:pPr>
        <w:numPr>
          <w:ilvl w:val="0"/>
          <w:numId w:val="1032"/>
        </w:numPr>
        <w:pStyle w:val="Compact"/>
      </w:pPr>
      <w:r>
        <w:rPr>
          <w:bCs/>
          <w:b/>
        </w:rPr>
        <w:t xml:space="preserve">Payment Terms</w:t>
      </w:r>
      <w:r>
        <w:t xml:space="preserve">: Net 30 days from invoice date</w:t>
      </w:r>
    </w:p>
    <w:p>
      <w:pPr>
        <w:numPr>
          <w:ilvl w:val="0"/>
          <w:numId w:val="1032"/>
        </w:numPr>
        <w:pStyle w:val="Compact"/>
      </w:pPr>
      <w:r>
        <w:rPr>
          <w:bCs/>
          <w:b/>
        </w:rPr>
        <w:t xml:space="preserve">Governing Law</w:t>
      </w:r>
      <w:r>
        <w:t xml:space="preserve">: State of California</w:t>
      </w:r>
    </w:p>
    <w:p>
      <w:r>
        <w:pict>
          <v:rect style="width:0;height:1.5pt" o:hralign="center" o:hrstd="t" o:hr="t"/>
        </w:pict>
      </w:r>
    </w:p>
    <w:bookmarkEnd w:id="93"/>
    <w:bookmarkEnd w:id="94"/>
    <w:bookmarkStart w:id="96" w:name="timeline"/>
    <w:p>
      <w:pPr>
        <w:pStyle w:val="Heading2"/>
      </w:pPr>
      <w:r>
        <w:t xml:space="preserve">Timeline</w:t>
      </w:r>
    </w:p>
    <w:p>
      <w:pPr>
        <w:pStyle w:val="FirstParagraph"/>
      </w:pPr>
      <w:r>
        <w:rPr>
          <w:bCs/>
          <w:b/>
        </w:rPr>
        <w:t xml:space="preserve">Total Duration</w:t>
      </w:r>
      <w:r>
        <w:t xml:space="preserve">: 42 weeks</w:t>
      </w:r>
    </w:p>
    <w:bookmarkStart w:id="95" w:name="high-level-schedule"/>
    <w:p>
      <w:pPr>
        <w:pStyle w:val="Heading3"/>
      </w:pPr>
      <w:r>
        <w:t xml:space="preserve">High-Level Schedule</w:t>
      </w:r>
    </w:p>
    <w:p>
      <w:pPr>
        <w:numPr>
          <w:ilvl w:val="0"/>
          <w:numId w:val="1033"/>
        </w:numPr>
        <w:pStyle w:val="Compact"/>
      </w:pPr>
      <w:r>
        <w:rPr>
          <w:bCs/>
          <w:b/>
        </w:rPr>
        <w:t xml:space="preserve">Week 1–42</w:t>
      </w:r>
      <w:r>
        <w:t xml:space="preserve">: Full project duration</w:t>
      </w:r>
    </w:p>
    <w:p>
      <w:r>
        <w:pict>
          <v:rect style="width:0;height:1.5pt" o:hralign="center" o:hrstd="t" o:hr="t"/>
        </w:pict>
      </w:r>
    </w:p>
    <w:bookmarkEnd w:id="95"/>
    <w:bookmarkEnd w:id="96"/>
    <w:bookmarkStart w:id="97" w:name="risk-management-1"/>
    <w:p>
      <w:pPr>
        <w:pStyle w:val="Heading2"/>
      </w:pPr>
      <w:r>
        <w:t xml:space="preserve">Risk Management</w:t>
      </w:r>
    </w:p>
    <w:tbl>
      <w:tblPr>
        <w:tblStyle w:val="Table"/>
        <w:tblW w:type="pct" w:w="5000"/>
        <w:tblLook w:firstRow="1" w:lastRow="0" w:firstColumn="0" w:lastColumn="0" w:noHBand="0" w:noVBand="0" w:val="0020"/>
        <w:jc w:val="start"/>
      </w:tblPr>
      <w:tblGrid>
        <w:gridCol w:w="1848"/>
        <w:gridCol w:w="2376"/>
        <w:gridCol w:w="2772"/>
        <w:gridCol w:w="924"/>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Technical</w:t>
            </w:r>
          </w:p>
        </w:tc>
        <w:tc>
          <w:tcPr/>
          <w:p>
            <w:pPr>
              <w:pStyle w:val="Compact"/>
              <w:jc w:val="left"/>
            </w:pPr>
            <w:r>
              <w:t xml:space="preserve">Integration complexity</w:t>
            </w:r>
          </w:p>
        </w:tc>
        <w:tc>
          <w:tcPr/>
          <w:p>
            <w:pPr>
              <w:pStyle w:val="Compact"/>
              <w:jc w:val="left"/>
            </w:pPr>
            <w:r>
              <w:t xml:space="preserve">Phased approach, proof-of-concept</w:t>
            </w:r>
          </w:p>
        </w:tc>
        <w:tc>
          <w:tcPr/>
          <w:p>
            <w:pPr>
              <w:pStyle w:val="Compact"/>
              <w:jc w:val="left"/>
            </w:pPr>
            <w:r>
              <w:t xml:space="preserve">Solution Architect</w:t>
            </w:r>
          </w:p>
        </w:tc>
      </w:tr>
      <w:tr>
        <w:tc>
          <w:tcPr/>
          <w:p>
            <w:pPr>
              <w:pStyle w:val="Compact"/>
              <w:jc w:val="left"/>
            </w:pPr>
            <w:r>
              <w:t xml:space="preserve">Organizational</w:t>
            </w:r>
          </w:p>
        </w:tc>
        <w:tc>
          <w:tcPr/>
          <w:p>
            <w:pPr>
              <w:pStyle w:val="Compact"/>
              <w:jc w:val="left"/>
            </w:pPr>
            <w:r>
              <w:t xml:space="preserve">Change resistance</w:t>
            </w:r>
          </w:p>
        </w:tc>
        <w:tc>
          <w:tcPr/>
          <w:p>
            <w:pPr>
              <w:pStyle w:val="Compact"/>
              <w:jc w:val="left"/>
            </w:pPr>
            <w:r>
              <w:t xml:space="preserve">Change management plan, super-user program</w:t>
            </w:r>
          </w:p>
        </w:tc>
        <w:tc>
          <w:tcPr/>
          <w:p>
            <w:pPr>
              <w:pStyle w:val="Compact"/>
              <w:jc w:val="left"/>
            </w:pPr>
            <w:r>
              <w:t xml:space="preserve">Change Lead</w:t>
            </w:r>
          </w:p>
        </w:tc>
      </w:tr>
      <w:tr>
        <w:tc>
          <w:tcPr/>
          <w:p>
            <w:pPr>
              <w:pStyle w:val="Compact"/>
              <w:jc w:val="left"/>
            </w:pPr>
            <w:r>
              <w:t xml:space="preserve">External</w:t>
            </w:r>
          </w:p>
        </w:tc>
        <w:tc>
          <w:tcPr/>
          <w:p>
            <w:pPr>
              <w:pStyle w:val="Compact"/>
              <w:jc w:val="left"/>
            </w:pPr>
            <w:r>
              <w:t xml:space="preserve">Vendor delays</w:t>
            </w:r>
          </w:p>
        </w:tc>
        <w:tc>
          <w:tcPr/>
          <w:p>
            <w:pPr>
              <w:pStyle w:val="Compact"/>
              <w:jc w:val="left"/>
            </w:pPr>
            <w:r>
              <w:t xml:space="preserve">Early engagement, backup vendors</w:t>
            </w:r>
          </w:p>
        </w:tc>
        <w:tc>
          <w:tcPr/>
          <w:p>
            <w:pPr>
              <w:pStyle w:val="Compact"/>
              <w:jc w:val="left"/>
            </w:pPr>
            <w:r>
              <w:t xml:space="preserve">Engagement Manager</w:t>
            </w:r>
          </w:p>
        </w:tc>
      </w:tr>
      <w:tr>
        <w:tc>
          <w:tcPr/>
          <w:p>
            <w:pPr>
              <w:pStyle w:val="Compact"/>
              <w:jc w:val="left"/>
            </w:pPr>
            <w:r>
              <w:t xml:space="preserve">Project</w:t>
            </w:r>
          </w:p>
        </w:tc>
        <w:tc>
          <w:tcPr/>
          <w:p>
            <w:pPr>
              <w:pStyle w:val="Compact"/>
              <w:jc w:val="left"/>
            </w:pPr>
            <w:r>
              <w:t xml:space="preserve">Scope creep</w:t>
            </w:r>
          </w:p>
        </w:tc>
        <w:tc>
          <w:tcPr/>
          <w:p>
            <w:pPr>
              <w:pStyle w:val="Compact"/>
              <w:jc w:val="left"/>
            </w:pPr>
            <w:r>
              <w:t xml:space="preserve">Change control process, steering oversight</w:t>
            </w:r>
          </w:p>
        </w:tc>
        <w:tc>
          <w:tcPr/>
          <w:p>
            <w:pPr>
              <w:pStyle w:val="Compact"/>
              <w:jc w:val="left"/>
            </w:pPr>
            <w:r>
              <w:t xml:space="preserve">Program Director</w:t>
            </w:r>
          </w:p>
        </w:tc>
      </w:tr>
    </w:tbl>
    <w:p>
      <w:r>
        <w:pict>
          <v:rect style="width:0;height:1.5pt" o:hralign="center" o:hrstd="t" o:hr="t"/>
        </w:pict>
      </w:r>
    </w:p>
    <w:bookmarkEnd w:id="97"/>
    <w:bookmarkStart w:id="98" w:name="terms-and-conditions"/>
    <w:p>
      <w:pPr>
        <w:pStyle w:val="Heading2"/>
      </w:pPr>
      <w:r>
        <w:t xml:space="preserve">Terms and Conditions</w:t>
      </w:r>
    </w:p>
    <w:p>
      <w:pPr>
        <w:numPr>
          <w:ilvl w:val="0"/>
          <w:numId w:val="1034"/>
        </w:numPr>
        <w:pStyle w:val="Compact"/>
      </w:pPr>
      <w:r>
        <w:rPr>
          <w:bCs/>
          <w:b/>
        </w:rPr>
        <w:t xml:space="preserve">Proposal Validity</w:t>
      </w:r>
      <w:r>
        <w:t xml:space="preserve">: 120 days</w:t>
      </w:r>
    </w:p>
    <w:p>
      <w:pPr>
        <w:numPr>
          <w:ilvl w:val="0"/>
          <w:numId w:val="1034"/>
        </w:numPr>
        <w:pStyle w:val="Compact"/>
      </w:pPr>
      <w:r>
        <w:rPr>
          <w:bCs/>
          <w:b/>
        </w:rPr>
        <w:t xml:space="preserve">Warranty Period</w:t>
      </w:r>
      <w:r>
        <w:t xml:space="preserve">: 12 months from final acceptance</w:t>
      </w:r>
    </w:p>
    <w:p>
      <w:pPr>
        <w:numPr>
          <w:ilvl w:val="0"/>
          <w:numId w:val="1034"/>
        </w:numPr>
        <w:pStyle w:val="Compact"/>
      </w:pPr>
      <w:r>
        <w:rPr>
          <w:bCs/>
          <w:b/>
        </w:rPr>
        <w:t xml:space="preserve">Governing Law</w:t>
      </w:r>
      <w:r>
        <w:t xml:space="preserve">: State of California, USA</w:t>
      </w:r>
    </w:p>
    <w:p>
      <w:pPr>
        <w:numPr>
          <w:ilvl w:val="0"/>
          <w:numId w:val="1034"/>
        </w:numPr>
        <w:pStyle w:val="Compact"/>
      </w:pPr>
      <w:r>
        <w:rPr>
          <w:bCs/>
          <w:b/>
        </w:rPr>
        <w:t xml:space="preserve">Payment Terms</w:t>
      </w:r>
      <w:r>
        <w:t xml:space="preserve">: Net 30 days from invoice date</w:t>
      </w:r>
    </w:p>
    <w:p>
      <w:pPr>
        <w:numPr>
          <w:ilvl w:val="0"/>
          <w:numId w:val="1034"/>
        </w:numPr>
        <w:pStyle w:val="Compact"/>
      </w:pPr>
      <w:r>
        <w:rPr>
          <w:bCs/>
          <w:b/>
        </w:rPr>
        <w:t xml:space="preserve">Confidentiality</w:t>
      </w:r>
      <w:r>
        <w:t xml:space="preserve">: All information shared during this engagement will be treated as confidential.</w:t>
      </w:r>
    </w:p>
    <w:p>
      <w:r>
        <w:pict>
          <v:rect style="width:0;height:1.5pt" o:hralign="center" o:hrstd="t" o:hr="t"/>
        </w:pict>
      </w:r>
    </w:p>
    <w:bookmarkEnd w:id="98"/>
    <w:bookmarkStart w:id="99" w:name="next-steps"/>
    <w:p>
      <w:pPr>
        <w:pStyle w:val="Heading2"/>
      </w:pPr>
      <w:r>
        <w:t xml:space="preserve">Next Steps</w:t>
      </w:r>
    </w:p>
    <w:p>
      <w:pPr>
        <w:numPr>
          <w:ilvl w:val="0"/>
          <w:numId w:val="1035"/>
        </w:numPr>
        <w:pStyle w:val="Compact"/>
      </w:pPr>
      <w:r>
        <w:rPr>
          <w:bCs/>
          <w:b/>
        </w:rPr>
        <w:t xml:space="preserve">Schedule Discovery Workshop</w:t>
      </w:r>
      <w:r>
        <w:t xml:space="preserve"> </w:t>
      </w:r>
      <w:r>
        <w:t xml:space="preserve">— Deep-dive session with key stakeholders</w:t>
      </w:r>
    </w:p>
    <w:p>
      <w:pPr>
        <w:numPr>
          <w:ilvl w:val="0"/>
          <w:numId w:val="1035"/>
        </w:numPr>
        <w:pStyle w:val="Compact"/>
      </w:pPr>
      <w:r>
        <w:rPr>
          <w:bCs/>
          <w:b/>
        </w:rPr>
        <w:t xml:space="preserve">Finalize Scope and Timeline</w:t>
      </w:r>
      <w:r>
        <w:t xml:space="preserve"> </w:t>
      </w:r>
      <w:r>
        <w:t xml:space="preserve">— Collaborative scope validation</w:t>
      </w:r>
    </w:p>
    <w:p>
      <w:pPr>
        <w:numPr>
          <w:ilvl w:val="0"/>
          <w:numId w:val="1035"/>
        </w:numPr>
        <w:pStyle w:val="Compact"/>
      </w:pPr>
      <w:r>
        <w:rPr>
          <w:bCs/>
          <w:b/>
        </w:rPr>
        <w:t xml:space="preserve">Execute Master Services Agreement</w:t>
      </w:r>
      <w:r>
        <w:t xml:space="preserve"> </w:t>
      </w:r>
      <w:r>
        <w:t xml:space="preserve">— Contract and SOW finalization</w:t>
      </w:r>
    </w:p>
    <w:p>
      <w:pPr>
        <w:numPr>
          <w:ilvl w:val="0"/>
          <w:numId w:val="1035"/>
        </w:numPr>
        <w:pStyle w:val="Compact"/>
      </w:pPr>
      <w:r>
        <w:rPr>
          <w:bCs/>
          <w:b/>
        </w:rPr>
        <w:t xml:space="preserve">Project Kickoff</w:t>
      </w:r>
      <w:r>
        <w:t xml:space="preserve"> </w:t>
      </w:r>
      <w:r>
        <w:t xml:space="preserve">— Team mobilization and first sprint planning</w:t>
      </w:r>
    </w:p>
    <w:p>
      <w:r>
        <w:pict>
          <v:rect style="width:0;height:1.5pt" o:hralign="center" o:hrstd="t" o:hr="t"/>
        </w:pict>
      </w:r>
    </w:p>
    <w:bookmarkEnd w:id="99"/>
    <w:bookmarkStart w:id="100" w:name="contact-information"/>
    <w:p>
      <w:pPr>
        <w:pStyle w:val="Heading2"/>
      </w:pPr>
      <w:r>
        <w:t xml:space="preserve">Contact Information</w:t>
      </w:r>
    </w:p>
    <w:p>
      <w:pPr>
        <w:pStyle w:val="FirstParagraph"/>
      </w:pPr>
      <w:r>
        <w:rPr>
          <w:bCs/>
          <w:b/>
        </w:rPr>
        <w:t xml:space="preserve">Apex Digital Solutions</w:t>
      </w:r>
      <w:r>
        <w:t xml:space="preserve"> </w:t>
      </w:r>
      <w:r>
        <w:t xml:space="preserve">- Website: https://apexdigitalsolutions.com</w:t>
      </w:r>
      <w:r>
        <w:t xml:space="preserve"> </w:t>
      </w:r>
      <w:r>
        <w:t xml:space="preserve">- Address: San Francisco, California</w:t>
      </w:r>
      <w:r>
        <w:t xml:space="preserve"> </w:t>
      </w:r>
      <w:r>
        <w:t xml:space="preserve">- Certifications: ISO 27001, SOC 2 Type II, CMMI Level 3</w:t>
      </w:r>
    </w:p>
    <w:p>
      <w:r>
        <w:pict>
          <v:rect style="width:0;height:1.5pt" o:hralign="center" o:hrstd="t" o:hr="t"/>
        </w:pict>
      </w:r>
    </w:p>
    <w:p>
      <w:pPr>
        <w:pStyle w:val="FirstParagraph"/>
      </w:pPr>
      <w:r>
        <w:rPr>
          <w:iCs/>
          <w:i/>
        </w:rPr>
        <w:t xml:space="preserve">This proposal is confidential and proprietary to Apex Digital Solutions. It may not be reproduced or distributed without written permission.</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2026-05-12T17:27:56Z</dcterms:created>
  <dcterms:modified xsi:type="dcterms:W3CDTF">2026-05-12T17:27:56Z</dcterms:modified>
</cp:coreProperties>
</file>

<file path=docProps/custom.xml><?xml version="1.0" encoding="utf-8"?>
<Properties xmlns="http://schemas.openxmlformats.org/officeDocument/2006/custom-properties" xmlns:vt="http://schemas.openxmlformats.org/officeDocument/2006/docPropsVTypes"/>
</file>