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E4057"/>
          <w:sz w:val="32"/>
          <w:szCs w:val="32"/>
        </w:rPr>
        <w:t xml:space="preserve">Multimodal Early Warning of In-Hospital Cardiac Arrest in the Emergency Department</w:t>
      </w:r>
    </w:p>
    <w:p>
      <w:pPr>
        <w:spacing w:after="60"/>
        <w:jc w:val="center"/>
      </w:pPr>
      <w:r>
        <w:rPr>
          <w:rFonts w:ascii="Arial" w:cs="Arial" w:eastAsia="Arial" w:hAnsi="Arial"/>
          <w:i/>
          <w:iCs/>
          <w:color w:val="666666"/>
          <w:sz w:val="22"/>
          <w:szCs w:val="22"/>
        </w:rPr>
        <w:t xml:space="preserve">LHS 712 — Course Project Progress Report</w:t>
      </w:r>
    </w:p>
    <w:p>
      <w:pPr>
        <w:spacing w:after="300"/>
        <w:jc w:val="center"/>
      </w:pPr>
      <w:r>
        <w:rPr>
          <w:rFonts w:ascii="Arial" w:cs="Arial" w:eastAsia="Arial" w:hAnsi="Arial"/>
          <w:color w:val="666666"/>
          <w:sz w:val="22"/>
          <w:szCs w:val="22"/>
        </w:rPr>
        <w:t xml:space="preserve">Taqi Alsaif (taqisaif) | April 2026</w:t>
      </w:r>
    </w:p>
    <w:p>
      <w:pPr>
        <w:pStyle w:val="Heading1"/>
      </w:pPr>
      <w:r>
        <w:t xml:space="preserve">1. Project Overview</w:t>
      </w:r>
    </w:p>
    <w:p>
      <w:pPr>
        <w:spacing w:after="200"/>
      </w:pPr>
      <w:r>
        <w:rPr>
          <w:rFonts w:ascii="Arial" w:cs="Arial" w:eastAsia="Arial" w:hAnsi="Arial"/>
          <w:sz w:val="24"/>
          <w:szCs w:val="24"/>
        </w:rPr>
        <w:t xml:space="preserve">This project investigates whether in-hospital cardiac arrest following emergency department (ED) admission can be predicted using a multimodal approach combining time-series vital signs and clinical NLP features derived from chief complaints. The dataset is sourced from MIMIC-IV and MIMIC-IV-ED, accessed via credentialed PhysioNet access.</w:t>
      </w:r>
    </w:p>
    <w:p>
      <w:pPr>
        <w:pStyle w:val="Heading1"/>
      </w:pPr>
      <w:r>
        <w:t xml:space="preserve">2. Data and Cohort Definition</w:t>
      </w:r>
    </w:p>
    <w:p>
      <w:pPr>
        <w:pStyle w:val="Heading2"/>
      </w:pPr>
      <w:r>
        <w:t xml:space="preserve">2.1 Cohort Construction</w:t>
      </w:r>
    </w:p>
    <w:p>
      <w:pPr>
        <w:spacing w:after="100"/>
      </w:pPr>
      <w:r>
        <w:rPr>
          <w:rFonts w:ascii="Arial" w:cs="Arial" w:eastAsia="Arial" w:hAnsi="Arial"/>
          <w:sz w:val="24"/>
          <w:szCs w:val="24"/>
        </w:rPr>
        <w:t xml:space="preserve">The cohort was constructed by joining MIMIC-IV-ED and MIMIC-IV ICU tables using the following logic:</w:t>
      </w:r>
    </w:p>
    <w:p>
      <w:pPr>
        <w:pStyle w:val="ListParagraph"/>
        <w:numPr>
          <w:ilvl w:val="0"/>
          <w:numId w:val="2"/>
        </w:numPr>
        <w:spacing w:after="60"/>
      </w:pPr>
      <w:r>
        <w:rPr>
          <w:rFonts w:ascii="Arial" w:cs="Arial" w:eastAsia="Arial" w:hAnsi="Arial"/>
          <w:sz w:val="24"/>
          <w:szCs w:val="24"/>
        </w:rPr>
        <w:t xml:space="preserve">ED visits were linked to ICU stays via hadm_id, requiring ED outtime to match ICU intime (direct ED-to-ICU transfer)</w:t>
      </w:r>
    </w:p>
    <w:p>
      <w:pPr>
        <w:pStyle w:val="ListParagraph"/>
        <w:numPr>
          <w:ilvl w:val="0"/>
          <w:numId w:val="2"/>
        </w:numPr>
        <w:spacing w:after="60"/>
      </w:pPr>
      <w:r>
        <w:rPr>
          <w:rFonts w:ascii="Arial" w:cs="Arial" w:eastAsia="Arial" w:hAnsi="Arial"/>
          <w:sz w:val="24"/>
          <w:szCs w:val="24"/>
        </w:rPr>
        <w:t xml:space="preserve">Positive label (cardiac arrest = 1): ICU admission followed by ICD codes I469, I468, I4601, I4609, or 4275</w:t>
      </w:r>
    </w:p>
    <w:p>
      <w:pPr>
        <w:pStyle w:val="ListParagraph"/>
        <w:numPr>
          <w:ilvl w:val="0"/>
          <w:numId w:val="2"/>
        </w:numPr>
        <w:spacing w:after="60"/>
      </w:pPr>
      <w:r>
        <w:rPr>
          <w:rFonts w:ascii="Arial" w:cs="Arial" w:eastAsia="Arial" w:hAnsi="Arial"/>
          <w:sz w:val="24"/>
          <w:szCs w:val="24"/>
        </w:rPr>
        <w:t xml:space="preserve">Negative label (no cardiac arrest = 0): ED-to-ICU transfer without any cardiac arrest ICD code</w:t>
      </w:r>
    </w:p>
    <w:p>
      <w:pPr>
        <w:pStyle w:val="ListParagraph"/>
        <w:numPr>
          <w:ilvl w:val="0"/>
          <w:numId w:val="2"/>
        </w:numPr>
        <w:spacing w:after="60"/>
      </w:pPr>
      <w:r>
        <w:rPr>
          <w:rFonts w:ascii="Arial" w:cs="Arial" w:eastAsia="Arial" w:hAnsi="Arial"/>
          <w:sz w:val="24"/>
          <w:szCs w:val="24"/>
        </w:rPr>
        <w:t xml:space="preserve">Inclusion criteria: adults with minimum 2-hour ED stay and at least one documented vital sign</w:t>
      </w:r>
    </w:p>
    <w:p>
      <w:pPr>
        <w:pStyle w:val="ListParagraph"/>
        <w:numPr>
          <w:ilvl w:val="0"/>
          <w:numId w:val="2"/>
        </w:numPr>
        <w:spacing w:after="60"/>
      </w:pPr>
      <w:r>
        <w:rPr>
          <w:rFonts w:ascii="Arial" w:cs="Arial" w:eastAsia="Arial" w:hAnsi="Arial"/>
          <w:sz w:val="24"/>
          <w:szCs w:val="24"/>
        </w:rPr>
        <w:t xml:space="preserve">Duplicate ED stays were removed using distinct ed_stay_id</w:t>
      </w:r>
    </w:p>
    <w:p>
      <w:pPr>
        <w:pStyle w:val="Heading2"/>
      </w:pPr>
      <w:r>
        <w:t xml:space="preserve">2.2 Final Cohort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patients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19,019</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Positive cases (cardiac arrest)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345 (1.8%)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 cases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18,674 (98.2%)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 imbalance ratio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1:54</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downsampling (10:1)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3,795 total (345 positive, 3,450 negative)</w:t>
            </w:r>
          </w:p>
        </w:tc>
      </w:tr>
    </w:tbl>
    <w:p>
      <w:pPr>
        <w:spacing w:after="200"/>
      </w:pPr>
      <w:r>
        <w:t xml:space="preserve"/>
      </w:r>
    </w:p>
    <w:p>
      <w:pPr>
        <w:pStyle w:val="Heading1"/>
      </w:pPr>
      <w:r>
        <w:t xml:space="preserve">3. Data Preprocessing</w:t>
      </w:r>
    </w:p>
    <w:p>
      <w:pPr>
        <w:pStyle w:val="Heading2"/>
      </w:pPr>
      <w:r>
        <w:t xml:space="preserve">3.1 Vital Signs Cleaning</w:t>
      </w:r>
    </w:p>
    <w:p>
      <w:pPr>
        <w:spacing w:after="100"/>
      </w:pPr>
      <w:r>
        <w:rPr>
          <w:rFonts w:ascii="Arial" w:cs="Arial" w:eastAsia="Arial" w:hAnsi="Arial"/>
          <w:sz w:val="24"/>
          <w:szCs w:val="24"/>
        </w:rPr>
        <w:t xml:space="preserve">Physiologically implausible values were removed using the following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Vital Sign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Min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Max</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Heart Rate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300 bpm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Systolic BP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300 mmHg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Diastolic BP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mmHg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Respiratory Rate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60 /min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SpO2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SBP &gt; DBP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Otherwise both set to NA</w:t>
            </w:r>
          </w:p>
        </w:tc>
      </w:tr>
    </w:tbl>
    <w:p>
      <w:pPr>
        <w:spacing w:after="100"/>
      </w:pPr>
      <w:r>
        <w:t xml:space="preserve"/>
      </w:r>
    </w:p>
    <w:p>
      <w:pPr>
        <w:pStyle w:val="Heading2"/>
      </w:pPr>
      <w:r>
        <w:t xml:space="preserve">3.2 Time-Series Feature Engineering</w:t>
      </w:r>
    </w:p>
    <w:p>
      <w:pPr>
        <w:spacing w:after="200"/>
      </w:pPr>
      <w:r>
        <w:rPr>
          <w:rFonts w:ascii="Arial" w:cs="Arial" w:eastAsia="Arial" w:hAnsi="Arial"/>
          <w:sz w:val="24"/>
          <w:szCs w:val="24"/>
        </w:rPr>
        <w:t xml:space="preserve">Each ED stay was divided into 5 equal time periods. For each period, the mean value of each vital sign was computed, yielding 25 structured features (5 vitals x 5 periods): HR, SBP, DBP, RR, SpO2. Temperature was excluded due to excessive missing values (&gt;40%). Missing values were imputed using column-wise median.</w:t>
      </w:r>
    </w:p>
    <w:p>
      <w:pPr>
        <w:pStyle w:val="Heading2"/>
      </w:pPr>
      <w:r>
        <w:t xml:space="preserve">3.3 NLP Feature Extraction</w:t>
      </w:r>
    </w:p>
    <w:p>
      <w:pPr>
        <w:spacing w:after="200"/>
      </w:pPr>
      <w:r>
        <w:rPr>
          <w:rFonts w:ascii="Arial" w:cs="Arial" w:eastAsia="Arial" w:hAnsi="Arial"/>
          <w:sz w:val="24"/>
          <w:szCs w:val="24"/>
        </w:rPr>
        <w:t xml:space="preserve">Chief complaint text was standardized to uppercase and encoded using BioBERT (pritamdeka/BioBERT-mnli-snli-scinli-scitail-mednli-stsb), a domain-specific contextual embedding model trained on biomedical and clinical text. This produced 768-dimensional embeddings per patient. Missing chief complaints were replaced with 'UNKNOWN'.</w:t>
      </w:r>
    </w:p>
    <w:p>
      <w:pPr>
        <w:pStyle w:val="Heading1"/>
      </w:pPr>
      <w:r>
        <w:t xml:space="preserve">4. Modeling Approach</w:t>
      </w:r>
    </w:p>
    <w:p>
      <w:pPr>
        <w:spacing w:after="100"/>
      </w:pPr>
      <w:r>
        <w:rPr>
          <w:rFonts w:ascii="Arial" w:cs="Arial" w:eastAsia="Arial" w:hAnsi="Arial"/>
          <w:sz w:val="24"/>
          <w:szCs w:val="24"/>
        </w:rPr>
        <w:t xml:space="preserve">Three model configurations were compared using XGBoost with identical hyperparameters (n_estimators=500, learning_rate=0.1, max_depth=10, subsample=0.8):</w:t>
      </w:r>
    </w:p>
    <w:p>
      <w:pPr>
        <w:pStyle w:val="ListParagraph"/>
        <w:numPr>
          <w:ilvl w:val="0"/>
          <w:numId w:val="2"/>
        </w:numPr>
        <w:spacing w:after="60"/>
      </w:pPr>
      <w:r>
        <w:rPr>
          <w:rFonts w:ascii="Arial" w:cs="Arial" w:eastAsia="Arial" w:hAnsi="Arial"/>
          <w:sz w:val="24"/>
          <w:szCs w:val="24"/>
        </w:rPr>
        <w:t xml:space="preserve">Model A — Vitals only: 25 structured time-series features</w:t>
      </w:r>
    </w:p>
    <w:p>
      <w:pPr>
        <w:pStyle w:val="ListParagraph"/>
        <w:numPr>
          <w:ilvl w:val="0"/>
          <w:numId w:val="2"/>
        </w:numPr>
        <w:spacing w:after="60"/>
      </w:pPr>
      <w:r>
        <w:rPr>
          <w:rFonts w:ascii="Arial" w:cs="Arial" w:eastAsia="Arial" w:hAnsi="Arial"/>
          <w:sz w:val="24"/>
          <w:szCs w:val="24"/>
        </w:rPr>
        <w:t xml:space="preserve">Model B — Embeddings only: 768 BioBERT embedding dimensions</w:t>
      </w:r>
    </w:p>
    <w:p>
      <w:pPr>
        <w:pStyle w:val="ListParagraph"/>
        <w:numPr>
          <w:ilvl w:val="0"/>
          <w:numId w:val="2"/>
        </w:numPr>
        <w:spacing w:after="60"/>
      </w:pPr>
      <w:r>
        <w:rPr>
          <w:rFonts w:ascii="Arial" w:cs="Arial" w:eastAsia="Arial" w:hAnsi="Arial"/>
          <w:sz w:val="24"/>
          <w:szCs w:val="24"/>
        </w:rPr>
        <w:t xml:space="preserve">Model C — Combined: vitals + embeddings (full multimodal)</w:t>
      </w:r>
    </w:p>
    <w:p>
      <w:pPr>
        <w:spacing w:after="100"/>
      </w:pPr>
      <w:r>
        <w:t xml:space="preserve"/>
      </w:r>
    </w:p>
    <w:p>
      <w:pPr>
        <w:spacing w:after="200"/>
      </w:pPr>
      <w:r>
        <w:rPr>
          <w:rFonts w:ascii="Arial" w:cs="Arial" w:eastAsia="Arial" w:hAnsi="Arial"/>
          <w:sz w:val="24"/>
          <w:szCs w:val="24"/>
        </w:rPr>
        <w:t xml:space="preserve">Class imbalance was addressed via undersampling of the negative class to a 10:1 ratio. A decision threshold of 0.3 was applied to maximize recall, consistent with the clinical priority of minimizing missed cardiac arrests.</w:t>
      </w:r>
    </w:p>
    <w:p>
      <w:pPr>
        <w:pStyle w:val="Heading1"/>
      </w:pPr>
      <w:r>
        <w:t xml:space="preserve">5.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AUC-ROC</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Vitals only (Model 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0.664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0.23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0.33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0.27</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Embeddings only (Model B)</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0.711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0.58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0.18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0.28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Combined (Model 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0.750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0.38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0.53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0.44</w:t>
            </w:r>
          </w:p>
        </w:tc>
      </w:tr>
    </w:tbl>
    <w:p>
      <w:pPr>
        <w:spacing w:after="100"/>
      </w:pPr>
      <w:r>
        <w:t xml:space="preserve"/>
      </w:r>
    </w:p>
    <w:p>
      <w:pPr>
        <w:spacing w:after="200"/>
      </w:pPr>
      <w:r>
        <w:rPr>
          <w:rFonts w:ascii="Arial" w:cs="Arial" w:eastAsia="Arial" w:hAnsi="Arial"/>
          <w:sz w:val="24"/>
          <w:szCs w:val="24"/>
        </w:rPr>
        <w:t xml:space="preserve">The combined model achieves the highest AUC-ROC (0.750), demonstrating the complementary value of integrating structured vital sign trends with semantic NLP features. Embeddings alone yield the highest recall (0.58) but at the cost of precision (0.18), suggesting that chief complaint text captures clinically relevant signal not fully represented in vital signs alone.</w:t>
      </w:r>
    </w:p>
    <w:p>
      <w:pPr>
        <w:pStyle w:val="Heading1"/>
      </w:pPr>
      <w:r>
        <w:t xml:space="preserve">6. Current Limitations and Next Steps</w:t>
      </w:r>
    </w:p>
    <w:p>
      <w:pPr>
        <w:pStyle w:val="ListParagraph"/>
        <w:numPr>
          <w:ilvl w:val="0"/>
          <w:numId w:val="2"/>
        </w:numPr>
        <w:spacing w:after="80"/>
      </w:pPr>
      <w:r>
        <w:rPr>
          <w:rFonts w:ascii="Arial" w:cs="Arial" w:eastAsia="Arial" w:hAnsi="Arial"/>
          <w:sz w:val="24"/>
          <w:szCs w:val="24"/>
        </w:rPr>
        <w:t xml:space="preserve">Small positive class (345 cases) limits model learning capacity</w:t>
      </w:r>
    </w:p>
    <w:p>
      <w:pPr>
        <w:pStyle w:val="ListParagraph"/>
        <w:numPr>
          <w:ilvl w:val="0"/>
          <w:numId w:val="2"/>
        </w:numPr>
        <w:spacing w:after="80"/>
      </w:pPr>
      <w:r>
        <w:rPr>
          <w:rFonts w:ascii="Arial" w:cs="Arial" w:eastAsia="Arial" w:hAnsi="Arial"/>
          <w:sz w:val="24"/>
          <w:szCs w:val="24"/>
        </w:rPr>
        <w:t xml:space="preserve">Cardiac arrest label derived from ICD codes may not capture exact timing of arrest relative to ED stay</w:t>
      </w:r>
    </w:p>
    <w:p>
      <w:pPr>
        <w:pStyle w:val="ListParagraph"/>
        <w:numPr>
          <w:ilvl w:val="0"/>
          <w:numId w:val="2"/>
        </w:numPr>
        <w:spacing w:after="80"/>
      </w:pPr>
      <w:r>
        <w:rPr>
          <w:rFonts w:ascii="Arial" w:cs="Arial" w:eastAsia="Arial" w:hAnsi="Arial"/>
          <w:sz w:val="24"/>
          <w:szCs w:val="24"/>
        </w:rPr>
        <w:t xml:space="preserve">Chief complaint text in MIMIC-IV reflects post-hoc documentation rather than real-time prehospital reporting</w:t>
      </w:r>
    </w:p>
    <w:p>
      <w:pPr>
        <w:pStyle w:val="ListParagraph"/>
        <w:numPr>
          <w:ilvl w:val="0"/>
          <w:numId w:val="2"/>
        </w:numPr>
        <w:spacing w:after="80"/>
      </w:pPr>
      <w:r>
        <w:rPr>
          <w:rFonts w:ascii="Arial" w:cs="Arial" w:eastAsia="Arial" w:hAnsi="Arial"/>
          <w:sz w:val="24"/>
          <w:szCs w:val="24"/>
        </w:rPr>
        <w:t xml:space="preserve">Next: feature importance analysis, error analysis of missed cases, and final report preparation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4057" w:sz="6" w:space="1"/>
      </w:pBdr>
      <w:spacing w:before="300" w:after="120"/>
      <w:outlineLvl w:val="0"/>
    </w:pPr>
    <w:rPr>
      <w:rFonts w:ascii="Arial" w:cs="Arial" w:eastAsia="Arial" w:hAnsi="Arial"/>
      <w:b/>
      <w:bCs/>
      <w:color w:val="2E4057"/>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2026-04-02T16:35:12.400Z</dcterms:created>
  <dcterms:modified xsi:type="dcterms:W3CDTF">2026-04-02T16:35:12.401Z</dcterms:modified>
</cp:coreProperties>
</file>

<file path=docProps/custom.xml><?xml version="1.0" encoding="utf-8"?>
<Properties xmlns="http://schemas.openxmlformats.org/officeDocument/2006/custom-properties" xmlns:vt="http://schemas.openxmlformats.org/officeDocument/2006/docPropsVTypes"/>
</file>