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sz w:val="46"/>
          <w:szCs w:val="46"/>
        </w:rPr>
      </w:pPr>
      <w:bookmarkStart w:colFirst="0" w:colLast="0" w:name="_oh1p67rucz4v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Day 2 – Data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sz w:val="22"/>
          <w:szCs w:val="22"/>
        </w:rPr>
      </w:pPr>
      <w:bookmarkStart w:colFirst="0" w:colLast="0" w:name="_lms6assacwf6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Generating a Golden Dataset : </w:t>
      </w:r>
      <w:r w:rsidDel="00000000" w:rsidR="00000000" w:rsidRPr="00000000">
        <w:rPr>
          <w:sz w:val="22"/>
          <w:szCs w:val="22"/>
          <w:rtl w:val="0"/>
        </w:rPr>
        <w:t xml:space="preserve">ex1_dataset_sprint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br w:type="textWrapping"/>
        <w:t xml:space="preserve">We built a golden dataset — essentially an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answer key</w:t>
      </w:r>
      <w:r w:rsidDel="00000000" w:rsidR="00000000" w:rsidRPr="00000000">
        <w:rPr>
          <w:sz w:val="22"/>
          <w:szCs w:val="22"/>
          <w:rtl w:val="0"/>
        </w:rPr>
        <w:t xml:space="preserve"> that defines what “good” responses should look like. Golden sets anchor evaluation by providing high-confidence, human-verified examples.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In this exercise, we manually created 32 structured test cases across domains such as customer support, technical documentation, and product recommendations.</w:t>
        <w:br w:type="textWrapping"/>
        <w:t xml:space="preserve">Each case includes: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input</w:t>
      </w:r>
      <w:r w:rsidDel="00000000" w:rsidR="00000000" w:rsidRPr="00000000">
        <w:rPr>
          <w:sz w:val="22"/>
          <w:szCs w:val="22"/>
          <w:rtl w:val="0"/>
        </w:rPr>
        <w:t xml:space="preserve"> — user query</w:t>
        <w:br w:type="textWrapping"/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expected_output</w:t>
      </w:r>
      <w:r w:rsidDel="00000000" w:rsidR="00000000" w:rsidRPr="00000000">
        <w:rPr>
          <w:sz w:val="22"/>
          <w:szCs w:val="22"/>
          <w:rtl w:val="0"/>
        </w:rPr>
        <w:t xml:space="preserve"> — ideal response</w:t>
        <w:br w:type="textWrapping"/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metadata</w:t>
      </w:r>
      <w:r w:rsidDel="00000000" w:rsidR="00000000" w:rsidRPr="00000000">
        <w:rPr>
          <w:sz w:val="22"/>
          <w:szCs w:val="22"/>
          <w:rtl w:val="0"/>
        </w:rPr>
        <w:t xml:space="preserve"> — difficulty, category, subcategory</w:t>
        <w:br w:type="textWrapping"/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A diverse golden dataset helps catch errors early, long before the model reaches production.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240" w:lineRule="auto"/>
        <w:rPr>
          <w:sz w:val="22"/>
          <w:szCs w:val="22"/>
        </w:rPr>
      </w:pPr>
      <w:bookmarkStart w:colFirst="0" w:colLast="0" w:name="_oo8kxu3bdfdp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Generating a Synthetic Dataset : </w:t>
      </w:r>
      <w:r w:rsidDel="00000000" w:rsidR="00000000" w:rsidRPr="00000000">
        <w:rPr>
          <w:sz w:val="22"/>
          <w:szCs w:val="22"/>
          <w:rtl w:val="0"/>
        </w:rPr>
        <w:t xml:space="preserve">ex2_synthetic_generation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br w:type="textWrapping"/>
        <w:t xml:space="preserve">We expanded coverage by generating additional test cases using GPT-4.</w:t>
        <w:br w:type="textWrapping"/>
        <w:t xml:space="preserve">Synthetic datasets allow us to scale faster and simulate a wide range of scenarios.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The model was prompted with product documentation and instructed to generate: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A mix of easy (60%), medium (30%), hard (10%) questions</w:t>
        <w:br w:type="textWrapping"/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Clear, documentation-grounded expected outputs</w:t>
        <w:br w:type="textWrapping"/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Subcategories to maintain topic structure</w:t>
        <w:br w:type="textWrapping"/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The output was converted into Golden objects and saved as a reusable dataset. This approach produces breadth, while the manual golden set ensures depth.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40" w:lineRule="auto"/>
        <w:rPr>
          <w:sz w:val="22"/>
          <w:szCs w:val="22"/>
        </w:rPr>
      </w:pPr>
      <w:bookmarkStart w:colFirst="0" w:colLast="0" w:name="_67ffg4whqf6g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Analyzing the Synthetic Dataset : </w:t>
      </w:r>
      <w:r w:rsidDel="00000000" w:rsidR="00000000" w:rsidRPr="00000000">
        <w:rPr>
          <w:sz w:val="22"/>
          <w:szCs w:val="22"/>
          <w:rtl w:val="0"/>
        </w:rPr>
        <w:t xml:space="preserve">ex3_dataset_analysis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br w:type="textWrapping"/>
        <w:t xml:space="preserve">Next, we assessed dataset quality using an automated analyzer.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25cwqvrcb30i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1. Difficulty Distribution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We checked whether the synthetic dataset matched the intended mix of easy, medium, and hard cases.</w:t>
        <w:br w:type="textWrapping"/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z4m9u3gq6ynq" w:id="5"/>
      <w:bookmarkEnd w:id="5"/>
      <w:r w:rsidDel="00000000" w:rsidR="00000000" w:rsidRPr="00000000">
        <w:rPr>
          <w:sz w:val="22"/>
          <w:szCs w:val="22"/>
          <w:rtl w:val="0"/>
        </w:rPr>
        <w:t xml:space="preserve">Balanced difficulty ensures evaluations reflect real-world complexity rather than skewing toward trivial scenarios.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v2afq31uglkl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2. Output Quality Checks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The analyzer flagged issues such as: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Vague outputs (too short to be useful)</w:t>
        <w:br w:type="textWrapping"/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Overly long outputs (too verbose)</w:t>
        <w:br w:type="textWrapping"/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Missing expected outputs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These signals help refine prompts or correct noisy synthetic cases.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4jvq94k7dron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3. Duplicate Detection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We detected repeated or overly similar inputs that can distort model scores and inflate dataset size unnecessarily.</w:t>
        <w:br w:type="textWrapping"/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240" w:before="240" w:line="240" w:lineRule="auto"/>
        <w:rPr>
          <w:sz w:val="26"/>
          <w:szCs w:val="26"/>
        </w:rPr>
      </w:pPr>
      <w:bookmarkStart w:colFirst="0" w:colLast="0" w:name="_9s88hq11rakq" w:id="8"/>
      <w:bookmarkEnd w:id="8"/>
      <w:r w:rsidDel="00000000" w:rsidR="00000000" w:rsidRPr="00000000">
        <w:rPr>
          <w:sz w:val="22"/>
          <w:szCs w:val="22"/>
          <w:rtl w:val="0"/>
        </w:rPr>
        <w:t xml:space="preserve">Overall, this step validated whether the dataset was clean, diverse, and aligned with quality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sz w:val="22"/>
          <w:szCs w:val="22"/>
        </w:rPr>
      </w:pPr>
      <w:bookmarkStart w:colFirst="0" w:colLast="0" w:name="_yb6w5kt55g2a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Dataset Evolution Strategy : </w:t>
      </w:r>
      <w:r w:rsidDel="00000000" w:rsidR="00000000" w:rsidRPr="00000000">
        <w:rPr>
          <w:sz w:val="22"/>
          <w:szCs w:val="22"/>
          <w:rtl w:val="0"/>
        </w:rPr>
        <w:t xml:space="preserve">ex4_dataset_evolution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br w:type="textWrapping"/>
        <w:t xml:space="preserve">The final exercise focused on keeping datasets relevant over time, using a structured evolution framework.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gpa7v7u57sk4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1. Incorporating Production Failures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We analyzed real or simulated production logs to identify: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Scenarios the model failed on</w:t>
        <w:br w:type="textWrapping"/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Missing test cases reflecting real user issues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New test cases were automatically generated if they weren’t already in the dataset.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8k0ta2uysoq6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2. Coverage Gaps Against Product Features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We compared existing dataset categories to a list of core product features.</w:t>
        <w:br w:type="textWrapping"/>
        <w:t xml:space="preserve">Any feature without corresponding test coverage was marked as a gap and added to the evolution plan.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re3pk9pkwdqj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3. Retirement of Obsolete Tests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Using metadata, we flagged cases tied to: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Deprecated features</w:t>
        <w:br w:type="textWrapping"/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Legacy flows</w:t>
        <w:br w:type="textWrapping"/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Old APIs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Retiring such cases prevents outdated evaluations from influencing model quality.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pd8r42fa3k3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4. Staleness Checks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By inspecting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date_added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metadata, we assessed whether the dataset was aging and needed an update cycle.</w:t>
        <w:br w:type="textWrapping"/>
        <w:t xml:space="preserve">Stale datasets reduce evaluation accuracy because the product evolves while the tests do not.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elf9f7tloigz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5. Evolution Plan Output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The planner produced a clear, actionable plan summarizing: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How many new cases to add</w:t>
        <w:br w:type="textWrapping"/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Which areas need expanded coverage</w:t>
        <w:br w:type="textWrapping"/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Which cases to retire</w:t>
        <w:br w:type="textWrapping"/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oh1p67rucz4v" w:id="0"/>
      <w:bookmarkEnd w:id="0"/>
      <w:r w:rsidDel="00000000" w:rsidR="00000000" w:rsidRPr="00000000">
        <w:rPr>
          <w:sz w:val="22"/>
          <w:szCs w:val="22"/>
          <w:rtl w:val="0"/>
        </w:rPr>
        <w:t xml:space="preserve">Ongoing quarterly maintenance recommendations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240" w:before="240" w:line="240" w:lineRule="auto"/>
        <w:rPr/>
      </w:pPr>
      <w:bookmarkStart w:colFirst="0" w:colLast="0" w:name="_wnmwp0x7og6i" w:id="15"/>
      <w:bookmarkEnd w:id="15"/>
      <w:r w:rsidDel="00000000" w:rsidR="00000000" w:rsidRPr="00000000">
        <w:rPr>
          <w:sz w:val="22"/>
          <w:szCs w:val="22"/>
          <w:rtl w:val="0"/>
        </w:rPr>
        <w:t xml:space="preserve">This mirrors how real-world AI teams ensure evaluation datasets stay fresh, comprehensive, and aligned with product changes.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