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2"/>
          <w:szCs w:val="22"/>
        </w:rPr>
        <w:t xml:space="preserve">CASA DA ÁRVORE</w:t>
      </w:r>
    </w:p>
    <w:p>
      <w:pPr>
        <w:spacing w:after="80" w:before="200"/>
      </w:pPr>
      <w:r>
        <w:rPr>
          <w:b/>
          <w:bCs/>
          <w:color w:val="2F5233"/>
          <w:sz w:val="40"/>
          <w:szCs w:val="40"/>
        </w:rPr>
        <w:t xml:space="preserve">Direcionamento Estratégico — CRM e Bot Próprios</w:t>
      </w:r>
    </w:p>
    <w:p>
      <w:pPr>
        <w:spacing w:after="300"/>
      </w:pPr>
      <w:r>
        <w:rPr>
          <w:i/>
          <w:iCs/>
          <w:color w:val="666666"/>
          <w:sz w:val="22"/>
          <w:szCs w:val="22"/>
        </w:rPr>
        <w:t xml:space="preserve">"O nosso waTidy", do jeito Casa da Árvore — construído sobre a infraestrutura já em produção</w:t>
      </w:r>
    </w:p>
    <w:p>
      <w:pPr>
        <w:spacing w:after="400"/>
      </w:pPr>
      <w:r>
        <w:rPr>
          <w:color w:val="666666"/>
          <w:sz w:val="20"/>
          <w:szCs w:val="20"/>
        </w:rPr>
        <w:t xml:space="preserve">Julho de 2026</w:t>
      </w:r>
    </w:p>
    <w:p>
      <w:pPr>
        <w:pStyle w:val="Heading1"/>
        <w:pBdr>
          <w:bottom w:val="single" w:color="2F5233" w:sz="6" w:space="4"/>
        </w:pBdr>
        <w:spacing w:after="160" w:before="360"/>
      </w:pPr>
      <w:r>
        <w:rPr>
          <w:b/>
          <w:bCs/>
          <w:color w:val="2F5233"/>
          <w:sz w:val="28"/>
          <w:szCs w:val="28"/>
        </w:rPr>
        <w:t xml:space="preserve">1. Decisão de Direção</w:t>
      </w:r>
    </w:p>
    <w:p>
      <w:pPr>
        <w:spacing w:after="160" w:line="300"/>
      </w:pPr>
      <w:r>
        <w:rPr>
          <w:b w:val="false"/>
          <w:bCs w:val="false"/>
          <w:i w:val="false"/>
          <w:iCs w:val="false"/>
          <w:sz w:val="22"/>
          <w:szCs w:val="22"/>
        </w:rPr>
        <w:t xml:space="preserve">Entre as duas opções levantadas a partir do material analisado — adotar uma plataforma pronta de CRM/bot (Kommo ou RD Station, como sugeria o Plano de Captação v2) ou seguir construindo um sistema próprio — a direção confirmada é a segunda: um CRM e bot de atendimento próprios, inspirados no benchmarking do waTidy, mas desenhados especificamente para as dores e a operação da Casa da Árvore, e construídos em cima da infraestrutura que já está rodando (Node.js, TypeScript, Express, Postgres, Redis/BullMQ, extração via IA e briefing mensal).</w:t>
      </w:r>
    </w:p>
    <w:p>
      <w:pPr>
        <w:spacing w:after="160" w:line="300"/>
      </w:pPr>
      <w:r>
        <w:rPr>
          <w:b w:val="false"/>
          <w:bCs w:val="false"/>
          <w:i w:val="false"/>
          <w:iCs w:val="false"/>
          <w:sz w:val="22"/>
          <w:szCs w:val="22"/>
        </w:rPr>
        <w:t xml:space="preserve">Essa escolha resolve a contradição identificada entre os documentos: a Especificação Funcional CRM vs waTidy defendia construir; o Plano de Captação v2 sugeria comprar. A partir de agora, o Script do Bot de Atendimento e a Estratégia de Envio de Mídias deixam de ser lidos como manual de configuração de uma plataforma terceira e passam a ser lidos como requisito funcional para o sistema próprio.</w:t>
      </w:r>
    </w:p>
    <w:p>
      <w:pPr>
        <w:pStyle w:val="Heading1"/>
        <w:pBdr>
          <w:bottom w:val="single" w:color="2F5233" w:sz="6" w:space="4"/>
        </w:pBdr>
        <w:spacing w:after="160" w:before="360"/>
      </w:pPr>
      <w:r>
        <w:rPr>
          <w:b/>
          <w:bCs/>
          <w:color w:val="2F5233"/>
          <w:sz w:val="28"/>
          <w:szCs w:val="28"/>
        </w:rPr>
        <w:t xml:space="preserve">2. Onde Estamos Hoje</w:t>
      </w:r>
    </w:p>
    <w:p>
      <w:pPr>
        <w:spacing w:after="160" w:line="300"/>
      </w:pPr>
      <w:r>
        <w:rPr>
          <w:b w:val="false"/>
          <w:bCs w:val="false"/>
          <w:i w:val="false"/>
          <w:iCs w:val="false"/>
          <w:sz w:val="22"/>
          <w:szCs w:val="22"/>
        </w:rPr>
        <w:t xml:space="preserve">Levantamento feito diretamente no código do projeto (não apenas no README):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000"/>
      </w:tblGrid>
      <w:tr>
        <w:tc>
          <w:tcPr>
            <w:tcW w:type="dxa" w:w="1500"/>
            <w:shd w:fill="2F5233" w:val="clear"/>
            <w:tcMar>
              <w:top w:type="dxa" w:w="80"/>
              <w:left w:type="dxa" w:w="100"/>
              <w:bottom w:type="dxa" w:w="80"/>
              <w:right w:type="dxa" w:w="100"/>
            </w:tcMar>
          </w:tcPr>
          <w:p>
            <w:r>
              <w:rPr>
                <w:b/>
                <w:bCs/>
                <w:color w:val="FFFFFF"/>
                <w:sz w:val="19"/>
                <w:szCs w:val="19"/>
              </w:rPr>
              <w:t xml:space="preserve">Etapa</w:t>
            </w:r>
          </w:p>
        </w:tc>
        <w:tc>
          <w:tcPr>
            <w:tcW w:type="dxa" w:w="5000"/>
            <w:shd w:fill="2F5233" w:val="clear"/>
            <w:tcMar>
              <w:top w:type="dxa" w:w="80"/>
              <w:left w:type="dxa" w:w="100"/>
              <w:bottom w:type="dxa" w:w="80"/>
              <w:right w:type="dxa" w:w="100"/>
            </w:tcMar>
          </w:tcPr>
          <w:p>
            <w:r>
              <w:rPr>
                <w:b/>
                <w:bCs/>
                <w:color w:val="FFFFFF"/>
                <w:sz w:val="19"/>
                <w:szCs w:val="19"/>
              </w:rPr>
              <w:t xml:space="preserve">Status</w:t>
            </w:r>
          </w:p>
        </w:tc>
        <w:tc>
          <w:tcPr>
            <w:tcW w:type="dxa" w:w="3000"/>
            <w:shd w:fill="2F5233" w:val="clear"/>
            <w:tcMar>
              <w:top w:type="dxa" w:w="80"/>
              <w:left w:type="dxa" w:w="100"/>
              <w:bottom w:type="dxa" w:w="80"/>
              <w:right w:type="dxa" w:w="100"/>
            </w:tcMar>
          </w:tcPr>
          <w:p>
            <w:r>
              <w:rPr>
                <w:b/>
                <w:bCs/>
                <w:color w:val="FFFFFF"/>
                <w:sz w:val="19"/>
                <w:szCs w:val="19"/>
              </w:rPr>
              <w:t xml:space="preserve">Observação</w:t>
            </w:r>
          </w:p>
        </w:tc>
      </w:tr>
      <w:tr>
        <w:tc>
          <w:tcPr>
            <w:tcW w:type="dxa" w:w="1500"/>
            <w:tcMar>
              <w:top w:type="dxa" w:w="80"/>
              <w:left w:type="dxa" w:w="100"/>
              <w:bottom w:type="dxa" w:w="80"/>
              <w:right w:type="dxa" w:w="100"/>
            </w:tcMar>
          </w:tcPr>
          <w:p>
            <w:r>
              <w:rPr>
                <w:b w:val="false"/>
                <w:bCs w:val="false"/>
                <w:color w:val="000000"/>
                <w:sz w:val="19"/>
                <w:szCs w:val="19"/>
              </w:rPr>
              <w:t xml:space="preserve">1 a 5</w:t>
            </w:r>
          </w:p>
        </w:tc>
        <w:tc>
          <w:tcPr>
            <w:tcW w:type="dxa" w:w="5000"/>
            <w:shd w:fill="E8F0E3" w:val="clear"/>
            <w:tcMar>
              <w:top w:type="dxa" w:w="80"/>
              <w:left w:type="dxa" w:w="100"/>
              <w:bottom w:type="dxa" w:w="80"/>
              <w:right w:type="dxa" w:w="100"/>
            </w:tcMar>
          </w:tcPr>
          <w:p>
            <w:r>
              <w:rPr>
                <w:b w:val="false"/>
                <w:bCs w:val="false"/>
                <w:color w:val="000000"/>
                <w:sz w:val="19"/>
                <w:szCs w:val="19"/>
              </w:rPr>
              <w:t xml:space="preserve">Concluídas</w:t>
            </w:r>
          </w:p>
        </w:tc>
        <w:tc>
          <w:tcPr>
            <w:tcW w:type="dxa" w:w="3000"/>
            <w:tcMar>
              <w:top w:type="dxa" w:w="80"/>
              <w:left w:type="dxa" w:w="100"/>
              <w:bottom w:type="dxa" w:w="80"/>
              <w:right w:type="dxa" w:w="100"/>
            </w:tcMar>
          </w:tcPr>
          <w:p>
            <w:r>
              <w:rPr>
                <w:b w:val="false"/>
                <w:bCs w:val="false"/>
                <w:color w:val="000000"/>
                <w:sz w:val="19"/>
                <w:szCs w:val="19"/>
              </w:rPr>
              <w:t xml:space="preserve">Estrutura, schema, ingestão, fila assíncrona, extração via IA</w:t>
            </w:r>
          </w:p>
        </w:tc>
      </w:tr>
      <w:tr>
        <w:tc>
          <w:tcPr>
            <w:tcW w:type="dxa" w:w="1500"/>
            <w:tcMar>
              <w:top w:type="dxa" w:w="80"/>
              <w:left w:type="dxa" w:w="100"/>
              <w:bottom w:type="dxa" w:w="80"/>
              <w:right w:type="dxa" w:w="100"/>
            </w:tcMar>
          </w:tcPr>
          <w:p>
            <w:r>
              <w:rPr>
                <w:b w:val="false"/>
                <w:bCs w:val="false"/>
                <w:color w:val="000000"/>
                <w:sz w:val="19"/>
                <w:szCs w:val="19"/>
              </w:rPr>
              <w:t xml:space="preserve">6</w:t>
            </w:r>
          </w:p>
        </w:tc>
        <w:tc>
          <w:tcPr>
            <w:tcW w:type="dxa" w:w="5000"/>
            <w:tcMar>
              <w:top w:type="dxa" w:w="80"/>
              <w:left w:type="dxa" w:w="100"/>
              <w:bottom w:type="dxa" w:w="80"/>
              <w:right w:type="dxa" w:w="100"/>
            </w:tcMar>
          </w:tcPr>
          <w:p>
            <w:r>
              <w:rPr>
                <w:b w:val="false"/>
                <w:bCs w:val="false"/>
                <w:color w:val="000000"/>
                <w:sz w:val="19"/>
                <w:szCs w:val="19"/>
              </w:rPr>
              <w:t xml:space="preserve">Pausada no meio</w:t>
            </w:r>
          </w:p>
        </w:tc>
        <w:tc>
          <w:tcPr>
            <w:tcW w:type="dxa" w:w="3000"/>
            <w:tcMar>
              <w:top w:type="dxa" w:w="80"/>
              <w:left w:type="dxa" w:w="100"/>
              <w:bottom w:type="dxa" w:w="80"/>
              <w:right w:type="dxa" w:w="100"/>
            </w:tcMar>
          </w:tcPr>
          <w:p>
            <w:r>
              <w:rPr>
                <w:b w:val="false"/>
                <w:bCs w:val="false"/>
                <w:color w:val="000000"/>
                <w:sz w:val="19"/>
                <w:szCs w:val="19"/>
              </w:rPr>
              <w:t xml:space="preserve">Número de teste do WhatsApp — falta token, app secret e webhook + ngrok</w:t>
            </w:r>
          </w:p>
        </w:tc>
      </w:tr>
      <w:tr>
        <w:tc>
          <w:tcPr>
            <w:tcW w:type="dxa" w:w="1500"/>
            <w:tcMar>
              <w:top w:type="dxa" w:w="80"/>
              <w:left w:type="dxa" w:w="100"/>
              <w:bottom w:type="dxa" w:w="80"/>
              <w:right w:type="dxa" w:w="100"/>
            </w:tcMar>
          </w:tcPr>
          <w:p>
            <w:r>
              <w:rPr>
                <w:b w:val="false"/>
                <w:bCs w:val="false"/>
                <w:color w:val="000000"/>
                <w:sz w:val="19"/>
                <w:szCs w:val="19"/>
              </w:rPr>
              <w:t xml:space="preserve">7 e 8</w:t>
            </w:r>
          </w:p>
        </w:tc>
        <w:tc>
          <w:tcPr>
            <w:tcW w:type="dxa" w:w="5000"/>
            <w:shd w:fill="E8F0E3" w:val="clear"/>
            <w:tcMar>
              <w:top w:type="dxa" w:w="80"/>
              <w:left w:type="dxa" w:w="100"/>
              <w:bottom w:type="dxa" w:w="80"/>
              <w:right w:type="dxa" w:w="100"/>
            </w:tcMar>
          </w:tcPr>
          <w:p>
            <w:r>
              <w:rPr>
                <w:b w:val="false"/>
                <w:bCs w:val="false"/>
                <w:color w:val="000000"/>
                <w:sz w:val="19"/>
                <w:szCs w:val="19"/>
              </w:rPr>
              <w:t xml:space="preserve">Concluídas</w:t>
            </w:r>
          </w:p>
        </w:tc>
        <w:tc>
          <w:tcPr>
            <w:tcW w:type="dxa" w:w="3000"/>
            <w:tcMar>
              <w:top w:type="dxa" w:w="80"/>
              <w:left w:type="dxa" w:w="100"/>
              <w:bottom w:type="dxa" w:w="80"/>
              <w:right w:type="dxa" w:w="100"/>
            </w:tcMar>
          </w:tcPr>
          <w:p>
            <w:r>
              <w:rPr>
                <w:b w:val="false"/>
                <w:bCs w:val="false"/>
                <w:color w:val="000000"/>
                <w:sz w:val="19"/>
                <w:szCs w:val="19"/>
              </w:rPr>
              <w:t xml:space="preserve">Briefing mensal por e-mail e logs estruturados</w:t>
            </w:r>
          </w:p>
        </w:tc>
      </w:tr>
      <w:tr>
        <w:tc>
          <w:tcPr>
            <w:tcW w:type="dxa" w:w="1500"/>
            <w:tcMar>
              <w:top w:type="dxa" w:w="80"/>
              <w:left w:type="dxa" w:w="100"/>
              <w:bottom w:type="dxa" w:w="80"/>
              <w:right w:type="dxa" w:w="100"/>
            </w:tcMar>
          </w:tcPr>
          <w:p>
            <w:r>
              <w:rPr>
                <w:b w:val="false"/>
                <w:bCs w:val="false"/>
                <w:color w:val="000000"/>
                <w:sz w:val="19"/>
                <w:szCs w:val="19"/>
              </w:rPr>
              <w:t xml:space="preserve">9</w:t>
            </w:r>
          </w:p>
        </w:tc>
        <w:tc>
          <w:tcPr>
            <w:tcW w:type="dxa" w:w="5000"/>
            <w:tcMar>
              <w:top w:type="dxa" w:w="80"/>
              <w:left w:type="dxa" w:w="100"/>
              <w:bottom w:type="dxa" w:w="80"/>
              <w:right w:type="dxa" w:w="100"/>
            </w:tcMar>
          </w:tcPr>
          <w:p>
            <w:r>
              <w:rPr>
                <w:b w:val="false"/>
                <w:bCs w:val="false"/>
                <w:color w:val="000000"/>
                <w:sz w:val="19"/>
                <w:szCs w:val="19"/>
              </w:rPr>
              <w:t xml:space="preserve">Documentada, a confirmar</w:t>
            </w:r>
          </w:p>
        </w:tc>
        <w:tc>
          <w:tcPr>
            <w:tcW w:type="dxa" w:w="3000"/>
            <w:tcMar>
              <w:top w:type="dxa" w:w="80"/>
              <w:left w:type="dxa" w:w="100"/>
              <w:bottom w:type="dxa" w:w="80"/>
              <w:right w:type="dxa" w:w="100"/>
            </w:tcMar>
          </w:tcPr>
          <w:p>
            <w:r>
              <w:rPr>
                <w:b w:val="false"/>
                <w:bCs w:val="false"/>
                <w:color w:val="000000"/>
                <w:sz w:val="19"/>
                <w:szCs w:val="19"/>
              </w:rPr>
              <w:t xml:space="preserve">Deploy via Railway — verificar se já rodou em produção</w:t>
            </w:r>
          </w:p>
        </w:tc>
      </w:tr>
    </w:tbl>
    <w:p>
      <w:pPr>
        <w:spacing w:after="160" w:before="200"/>
      </w:pPr>
    </w:p>
    <w:p>
      <w:pPr>
        <w:spacing w:after="160" w:line="300"/>
      </w:pPr>
      <w:r>
        <w:rPr>
          <w:b w:val="false"/>
          <w:bCs w:val="false"/>
          <w:i w:val="false"/>
          <w:iCs w:val="false"/>
          <w:sz w:val="22"/>
          <w:szCs w:val="22"/>
        </w:rPr>
        <w:t xml:space="preserve">O sistema atual é, na prática, um serviço de ingestão e inteligência de demanda: recebe mensagens de uma automação externa (Make), extrai dados do lead via IA com retry, grava em Postgres e gera um briefing mensal. Não existe hoje: campo de unidade no banco (o schema foi feito para uma operação única, não para as cinco casas do portfólio), estado de conversa do bot, painel visual (kanban), motor de envio de mídia, canal de handoff para humano, ou réguas automáticas de follow-up.</w:t>
      </w:r>
    </w:p>
    <w:p>
      <w:pPr>
        <w:pStyle w:val="Heading1"/>
        <w:pBdr>
          <w:bottom w:val="single" w:color="2F5233" w:sz="6" w:space="4"/>
        </w:pBdr>
        <w:spacing w:after="160" w:before="360"/>
      </w:pPr>
      <w:r>
        <w:rPr>
          <w:b/>
          <w:bCs/>
          <w:color w:val="2F5233"/>
          <w:sz w:val="28"/>
          <w:szCs w:val="28"/>
        </w:rPr>
        <w:t xml:space="preserve">3. Lacunas entre a Especificação e o Sistema Atual</w:t>
      </w:r>
    </w:p>
    <w:p>
      <w:pPr>
        <w:spacing w:after="160" w:line="300"/>
      </w:pPr>
      <w:r>
        <w:rPr>
          <w:b w:val="false"/>
          <w:bCs w:val="false"/>
          <w:i w:val="false"/>
          <w:iCs w:val="false"/>
          <w:sz w:val="22"/>
          <w:szCs w:val="22"/>
        </w:rPr>
        <w:t xml:space="preserve">Cruzando o Script do Bot de Atendimento e a Estratégia de Envio de Mídias com o código real: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0"/>
      </w:tblGrid>
      <w:tr>
        <w:tc>
          <w:tcPr>
            <w:tcW w:type="dxa" w:w="2300"/>
            <w:shd w:fill="2F5233" w:val="clear"/>
            <w:tcMar>
              <w:top w:type="dxa" w:w="80"/>
              <w:left w:type="dxa" w:w="100"/>
              <w:bottom w:type="dxa" w:w="80"/>
              <w:right w:type="dxa" w:w="100"/>
            </w:tcMar>
          </w:tcPr>
          <w:p>
            <w:r>
              <w:rPr>
                <w:b/>
                <w:bCs/>
                <w:color w:val="FFFFFF"/>
                <w:sz w:val="19"/>
                <w:szCs w:val="19"/>
              </w:rPr>
              <w:t xml:space="preserve">O que a especificação pede</w:t>
            </w:r>
          </w:p>
        </w:tc>
        <w:tc>
          <w:tcPr>
            <w:tcW w:type="dxa" w:w="3600"/>
            <w:shd w:fill="2F5233" w:val="clear"/>
            <w:tcMar>
              <w:top w:type="dxa" w:w="80"/>
              <w:left w:type="dxa" w:w="100"/>
              <w:bottom w:type="dxa" w:w="80"/>
              <w:right w:type="dxa" w:w="100"/>
            </w:tcMar>
          </w:tcPr>
          <w:p>
            <w:r>
              <w:rPr>
                <w:b/>
                <w:bCs/>
                <w:color w:val="FFFFFF"/>
                <w:sz w:val="19"/>
                <w:szCs w:val="19"/>
              </w:rPr>
              <w:t xml:space="preserve">O que existe hoje</w:t>
            </w:r>
          </w:p>
        </w:tc>
        <w:tc>
          <w:tcPr>
            <w:tcW w:type="dxa" w:w="3600"/>
            <w:shd w:fill="2F5233" w:val="clear"/>
            <w:tcMar>
              <w:top w:type="dxa" w:w="80"/>
              <w:left w:type="dxa" w:w="100"/>
              <w:bottom w:type="dxa" w:w="80"/>
              <w:right w:type="dxa" w:w="100"/>
            </w:tcMar>
          </w:tcPr>
          <w:p>
            <w:r>
              <w:rPr>
                <w:b/>
                <w:bCs/>
                <w:color w:val="FFFFFF"/>
                <w:sz w:val="19"/>
                <w:szCs w:val="19"/>
              </w:rPr>
              <w:t xml:space="preserve">Lacuna / ação necessária</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Roteamento entre 5 unidades</w:t>
            </w:r>
          </w:p>
        </w:tc>
        <w:tc>
          <w:tcPr>
            <w:tcW w:type="dxa" w:w="3600"/>
            <w:tcMar>
              <w:top w:type="dxa" w:w="80"/>
              <w:left w:type="dxa" w:w="100"/>
              <w:bottom w:type="dxa" w:w="80"/>
              <w:right w:type="dxa" w:w="100"/>
            </w:tcMar>
          </w:tcPr>
          <w:p>
            <w:r>
              <w:rPr>
                <w:b w:val="false"/>
                <w:bCs w:val="false"/>
                <w:color w:val="000000"/>
                <w:sz w:val="19"/>
                <w:szCs w:val="19"/>
              </w:rPr>
              <w:t xml:space="preserve">Schema sem coluna de unidade; operação tratada como única</w:t>
            </w:r>
          </w:p>
        </w:tc>
        <w:tc>
          <w:tcPr>
            <w:tcW w:type="dxa" w:w="3600"/>
            <w:tcMar>
              <w:top w:type="dxa" w:w="80"/>
              <w:left w:type="dxa" w:w="100"/>
              <w:bottom w:type="dxa" w:w="80"/>
              <w:right w:type="dxa" w:w="100"/>
            </w:tcMar>
          </w:tcPr>
          <w:p>
            <w:r>
              <w:rPr>
                <w:b w:val="false"/>
                <w:bCs w:val="false"/>
                <w:color w:val="000000"/>
                <w:sz w:val="19"/>
                <w:szCs w:val="19"/>
              </w:rPr>
              <w:t xml:space="preserve">Migrar schema: adicionar unidade antes de qualquer automação de roteamento</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Fluxo de conversa em nós (N0 a N10)</w:t>
            </w:r>
          </w:p>
        </w:tc>
        <w:tc>
          <w:tcPr>
            <w:tcW w:type="dxa" w:w="3600"/>
            <w:tcMar>
              <w:top w:type="dxa" w:w="80"/>
              <w:left w:type="dxa" w:w="100"/>
              <w:bottom w:type="dxa" w:w="80"/>
              <w:right w:type="dxa" w:w="100"/>
            </w:tcMar>
          </w:tcPr>
          <w:p>
            <w:r>
              <w:rPr>
                <w:b w:val="false"/>
                <w:bCs w:val="false"/>
                <w:color w:val="000000"/>
                <w:sz w:val="19"/>
                <w:szCs w:val="19"/>
              </w:rPr>
              <w:t xml:space="preserve">Worker extrai dados de uma mensagem isolada, sem estado persistente</w:t>
            </w:r>
          </w:p>
        </w:tc>
        <w:tc>
          <w:tcPr>
            <w:tcW w:type="dxa" w:w="3600"/>
            <w:tcMar>
              <w:top w:type="dxa" w:w="80"/>
              <w:left w:type="dxa" w:w="100"/>
              <w:bottom w:type="dxa" w:w="80"/>
              <w:right w:type="dxa" w:w="100"/>
            </w:tcMar>
          </w:tcPr>
          <w:p>
            <w:r>
              <w:rPr>
                <w:b w:val="false"/>
                <w:bCs w:val="false"/>
                <w:color w:val="000000"/>
                <w:sz w:val="19"/>
                <w:szCs w:val="19"/>
              </w:rPr>
              <w:t xml:space="preserve">Criar conversation_state (nó atual, ramo, histórico) e adaptar o worker para fluxo com múltiplas trocas</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Funil visual (kanban) por unidade</w:t>
            </w:r>
          </w:p>
        </w:tc>
        <w:tc>
          <w:tcPr>
            <w:tcW w:type="dxa" w:w="3600"/>
            <w:tcMar>
              <w:top w:type="dxa" w:w="80"/>
              <w:left w:type="dxa" w:w="100"/>
              <w:bottom w:type="dxa" w:w="80"/>
              <w:right w:type="dxa" w:w="100"/>
            </w:tcMar>
          </w:tcPr>
          <w:p>
            <w:r>
              <w:rPr>
                <w:b w:val="false"/>
                <w:bCs w:val="false"/>
                <w:color w:val="000000"/>
                <w:sz w:val="19"/>
                <w:szCs w:val="19"/>
              </w:rPr>
              <w:t xml:space="preserve">Só tabela leads + status; sem interface</w:t>
            </w:r>
          </w:p>
        </w:tc>
        <w:tc>
          <w:tcPr>
            <w:tcW w:type="dxa" w:w="3600"/>
            <w:tcMar>
              <w:top w:type="dxa" w:w="80"/>
              <w:left w:type="dxa" w:w="100"/>
              <w:bottom w:type="dxa" w:w="80"/>
              <w:right w:type="dxa" w:w="100"/>
            </w:tcMar>
          </w:tcPr>
          <w:p>
            <w:r>
              <w:rPr>
                <w:b w:val="false"/>
                <w:bCs w:val="false"/>
                <w:color w:val="000000"/>
                <w:sz w:val="19"/>
                <w:szCs w:val="19"/>
              </w:rPr>
              <w:t xml:space="preserve">Construir painel mínimo de visibilidade, evoluir para kanban depois</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Envio progressivo de mídia em 4 etapas</w:t>
            </w:r>
          </w:p>
        </w:tc>
        <w:tc>
          <w:tcPr>
            <w:tcW w:type="dxa" w:w="3600"/>
            <w:tcMar>
              <w:top w:type="dxa" w:w="80"/>
              <w:left w:type="dxa" w:w="100"/>
              <w:bottom w:type="dxa" w:w="80"/>
              <w:right w:type="dxa" w:w="100"/>
            </w:tcMar>
          </w:tcPr>
          <w:p>
            <w:r>
              <w:rPr>
                <w:b w:val="false"/>
                <w:bCs w:val="false"/>
                <w:color w:val="000000"/>
                <w:sz w:val="19"/>
                <w:szCs w:val="19"/>
              </w:rPr>
              <w:t xml:space="preserve">Não implementado</w:t>
            </w:r>
          </w:p>
        </w:tc>
        <w:tc>
          <w:tcPr>
            <w:tcW w:type="dxa" w:w="3600"/>
            <w:tcMar>
              <w:top w:type="dxa" w:w="80"/>
              <w:left w:type="dxa" w:w="100"/>
              <w:bottom w:type="dxa" w:w="80"/>
              <w:right w:type="dxa" w:w="100"/>
            </w:tcMar>
          </w:tcPr>
          <w:p>
            <w:r>
              <w:rPr>
                <w:b w:val="false"/>
                <w:bCs w:val="false"/>
                <w:color w:val="000000"/>
                <w:sz w:val="19"/>
                <w:szCs w:val="19"/>
              </w:rPr>
              <w:t xml:space="preserve">Criar media_library (código, unidade, perfil) + lógica de disparo via WhatsApp API</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Handoff para humano com SLA por unidade</w:t>
            </w:r>
          </w:p>
        </w:tc>
        <w:tc>
          <w:tcPr>
            <w:tcW w:type="dxa" w:w="3600"/>
            <w:tcMar>
              <w:top w:type="dxa" w:w="80"/>
              <w:left w:type="dxa" w:w="100"/>
              <w:bottom w:type="dxa" w:w="80"/>
              <w:right w:type="dxa" w:w="100"/>
            </w:tcMar>
          </w:tcPr>
          <w:p>
            <w:r>
              <w:rPr>
                <w:b w:val="false"/>
                <w:bCs w:val="false"/>
                <w:color w:val="000000"/>
                <w:sz w:val="19"/>
                <w:szCs w:val="19"/>
              </w:rPr>
              <w:t xml:space="preserve">Sem canal de notificação a atendente</w:t>
            </w:r>
          </w:p>
        </w:tc>
        <w:tc>
          <w:tcPr>
            <w:tcW w:type="dxa" w:w="3600"/>
            <w:tcMar>
              <w:top w:type="dxa" w:w="80"/>
              <w:left w:type="dxa" w:w="100"/>
              <w:bottom w:type="dxa" w:w="80"/>
              <w:right w:type="dxa" w:w="100"/>
            </w:tcMar>
          </w:tcPr>
          <w:p>
            <w:r>
              <w:rPr>
                <w:b w:val="false"/>
                <w:bCs w:val="false"/>
                <w:color w:val="000000"/>
                <w:sz w:val="19"/>
                <w:szCs w:val="19"/>
              </w:rPr>
              <w:t xml:space="preserve">Notificar via Resend (já integrado) ou WhatsApp interno</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Réguas de follow-up (2h / 48h / 7d / 30d)</w:t>
            </w:r>
          </w:p>
        </w:tc>
        <w:tc>
          <w:tcPr>
            <w:tcW w:type="dxa" w:w="3600"/>
            <w:tcMar>
              <w:top w:type="dxa" w:w="80"/>
              <w:left w:type="dxa" w:w="100"/>
              <w:bottom w:type="dxa" w:w="80"/>
              <w:right w:type="dxa" w:w="100"/>
            </w:tcMar>
          </w:tcPr>
          <w:p>
            <w:r>
              <w:rPr>
                <w:b w:val="false"/>
                <w:bCs w:val="false"/>
                <w:color w:val="000000"/>
                <w:sz w:val="19"/>
                <w:szCs w:val="19"/>
              </w:rPr>
              <w:t xml:space="preserve">BullMQ existe, mas só para processamento imediato</w:t>
            </w:r>
          </w:p>
        </w:tc>
        <w:tc>
          <w:tcPr>
            <w:tcW w:type="dxa" w:w="3600"/>
            <w:tcMar>
              <w:top w:type="dxa" w:w="80"/>
              <w:left w:type="dxa" w:w="100"/>
              <w:bottom w:type="dxa" w:w="80"/>
              <w:right w:type="dxa" w:w="100"/>
            </w:tcMar>
          </w:tcPr>
          <w:p>
            <w:r>
              <w:rPr>
                <w:b w:val="false"/>
                <w:bCs w:val="false"/>
                <w:color w:val="000000"/>
                <w:sz w:val="19"/>
                <w:szCs w:val="19"/>
              </w:rPr>
              <w:t xml:space="preserve">Reaproveitar BullMQ (delayed jobs) — infraestrutura pronta, falta implementar os jobs</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Detecção de engajamento (emoji, palavra-chave, silêncio)</w:t>
            </w:r>
          </w:p>
        </w:tc>
        <w:tc>
          <w:tcPr>
            <w:tcW w:type="dxa" w:w="3600"/>
            <w:tcMar>
              <w:top w:type="dxa" w:w="80"/>
              <w:left w:type="dxa" w:w="100"/>
              <w:bottom w:type="dxa" w:w="80"/>
              <w:right w:type="dxa" w:w="100"/>
            </w:tcMar>
          </w:tcPr>
          <w:p>
            <w:r>
              <w:rPr>
                <w:b w:val="false"/>
                <w:bCs w:val="false"/>
                <w:color w:val="000000"/>
                <w:sz w:val="19"/>
                <w:szCs w:val="19"/>
              </w:rPr>
              <w:t xml:space="preserve">anthropic.service.ts já extrai e valida dados do lead</w:t>
            </w:r>
          </w:p>
        </w:tc>
        <w:tc>
          <w:tcPr>
            <w:tcW w:type="dxa" w:w="3600"/>
            <w:tcMar>
              <w:top w:type="dxa" w:w="80"/>
              <w:left w:type="dxa" w:w="100"/>
              <w:bottom w:type="dxa" w:w="80"/>
              <w:right w:type="dxa" w:w="100"/>
            </w:tcMar>
          </w:tcPr>
          <w:p>
            <w:r>
              <w:rPr>
                <w:b w:val="false"/>
                <w:bCs w:val="false"/>
                <w:color w:val="000000"/>
                <w:sz w:val="19"/>
                <w:szCs w:val="19"/>
              </w:rPr>
              <w:t xml:space="preserve">Estender o mesmo serviço — não é construção do zero</w:t>
            </w:r>
          </w:p>
        </w:tc>
      </w:tr>
      <w:tr>
        <w:tc>
          <w:tcPr>
            <w:tcW w:type="dxa" w:w="2300"/>
            <w:shd w:fill="E8F0E3" w:val="clear"/>
            <w:tcMar>
              <w:top w:type="dxa" w:w="80"/>
              <w:left w:type="dxa" w:w="100"/>
              <w:bottom w:type="dxa" w:w="80"/>
              <w:right w:type="dxa" w:w="100"/>
            </w:tcMar>
          </w:tcPr>
          <w:p>
            <w:r>
              <w:rPr>
                <w:b w:val="false"/>
                <w:bCs w:val="false"/>
                <w:color w:val="000000"/>
                <w:sz w:val="19"/>
                <w:szCs w:val="19"/>
              </w:rPr>
              <w:t xml:space="preserve">Tags de qualificação (quente/morno/frio, destination, corporativo)</w:t>
            </w:r>
          </w:p>
        </w:tc>
        <w:tc>
          <w:tcPr>
            <w:tcW w:type="dxa" w:w="3600"/>
            <w:tcMar>
              <w:top w:type="dxa" w:w="80"/>
              <w:left w:type="dxa" w:w="100"/>
              <w:bottom w:type="dxa" w:w="80"/>
              <w:right w:type="dxa" w:w="100"/>
            </w:tcMar>
          </w:tcPr>
          <w:p>
            <w:r>
              <w:rPr>
                <w:b w:val="false"/>
                <w:bCs w:val="false"/>
                <w:color w:val="000000"/>
                <w:sz w:val="19"/>
                <w:szCs w:val="19"/>
              </w:rPr>
              <w:t xml:space="preserve">Existe status_lead_enum, mas sem tags</w:t>
            </w:r>
          </w:p>
        </w:tc>
        <w:tc>
          <w:tcPr>
            <w:tcW w:type="dxa" w:w="3600"/>
            <w:tcMar>
              <w:top w:type="dxa" w:w="80"/>
              <w:left w:type="dxa" w:w="100"/>
              <w:bottom w:type="dxa" w:w="80"/>
              <w:right w:type="dxa" w:w="100"/>
            </w:tcMar>
          </w:tcPr>
          <w:p>
            <w:r>
              <w:rPr>
                <w:b w:val="false"/>
                <w:bCs w:val="false"/>
                <w:color w:val="000000"/>
                <w:sz w:val="19"/>
                <w:szCs w:val="19"/>
              </w:rPr>
              <w:t xml:space="preserve">Adicionar campo de tags ao lead</w:t>
            </w:r>
          </w:p>
        </w:tc>
      </w:tr>
    </w:tbl>
    <w:p>
      <w:pPr>
        <w:pStyle w:val="Heading1"/>
        <w:pBdr>
          <w:bottom w:val="single" w:color="2F5233" w:sz="6" w:space="4"/>
        </w:pBdr>
        <w:spacing w:after="160" w:before="360"/>
      </w:pPr>
      <w:r>
        <w:rPr>
          <w:b/>
          <w:bCs/>
          <w:color w:val="2F5233"/>
          <w:sz w:val="28"/>
          <w:szCs w:val="28"/>
        </w:rPr>
        <w:t xml:space="preserve">4. O Que Já Está Pronto Para Reaproveitar</w:t>
      </w:r>
    </w:p>
    <w:p>
      <w:pPr>
        <w:pStyle w:val="ListParagraph"/>
        <w:numPr>
          <w:ilvl w:val="0"/>
          <w:numId w:val="2"/>
        </w:numPr>
        <w:spacing w:after="90" w:line="280"/>
      </w:pPr>
      <w:r>
        <w:rPr>
          <w:sz w:val="22"/>
          <w:szCs w:val="22"/>
        </w:rPr>
        <w:t xml:space="preserve">Fila assíncrona (Redis/BullMQ): já resolve concorrência e pode virar o motor das réguas de follow-up sem novas dependências.</w:t>
      </w:r>
    </w:p>
    <w:p>
      <w:pPr>
        <w:pStyle w:val="ListParagraph"/>
        <w:numPr>
          <w:ilvl w:val="0"/>
          <w:numId w:val="2"/>
        </w:numPr>
        <w:spacing w:after="90" w:line="280"/>
      </w:pPr>
      <w:r>
        <w:rPr>
          <w:sz w:val="22"/>
          <w:szCs w:val="22"/>
        </w:rPr>
        <w:t xml:space="preserve">anthropic.service.ts (extração com validação de enum e retry): mesma base pode virar o "cérebro" de classificação de intenção e detecção de sinais do bot, evitando reconstruir uma árvore de decisão rígida nó a nó.</w:t>
      </w:r>
    </w:p>
    <w:p>
      <w:pPr>
        <w:pStyle w:val="ListParagraph"/>
        <w:numPr>
          <w:ilvl w:val="0"/>
          <w:numId w:val="2"/>
        </w:numPr>
        <w:spacing w:after="90" w:line="280"/>
      </w:pPr>
      <w:r>
        <w:rPr>
          <w:sz w:val="22"/>
          <w:szCs w:val="22"/>
        </w:rPr>
        <w:t xml:space="preserve">raw_messages: já garante auditoria e reprocessamento — essencial para qualquer bot em produção.</w:t>
      </w:r>
    </w:p>
    <w:p>
      <w:pPr>
        <w:pStyle w:val="ListParagraph"/>
        <w:numPr>
          <w:ilvl w:val="0"/>
          <w:numId w:val="2"/>
        </w:numPr>
        <w:spacing w:after="90" w:line="280"/>
      </w:pPr>
      <w:r>
        <w:rPr>
          <w:sz w:val="22"/>
          <w:szCs w:val="22"/>
        </w:rPr>
        <w:t xml:space="preserve">Logs estruturados com rawMessageId rastreável: facilita depurar o novo motor de conversa desde o dia 1.</w:t>
      </w:r>
    </w:p>
    <w:p>
      <w:pPr>
        <w:pStyle w:val="ListParagraph"/>
        <w:numPr>
          <w:ilvl w:val="0"/>
          <w:numId w:val="2"/>
        </w:numPr>
        <w:spacing w:after="90" w:line="280"/>
      </w:pPr>
      <w:r>
        <w:rPr>
          <w:sz w:val="22"/>
          <w:szCs w:val="22"/>
        </w:rPr>
        <w:t xml:space="preserve">Dockerfile de produção e briefing mensal com Resend: infraestrutura de deploy e de e-mail já disponíveis para o canal de handoff e alertas.</w:t>
      </w:r>
    </w:p>
    <w:p>
      <w:pPr>
        <w:pStyle w:val="Heading1"/>
        <w:pBdr>
          <w:bottom w:val="single" w:color="2F5233" w:sz="6" w:space="4"/>
        </w:pBdr>
        <w:spacing w:after="160" w:before="360"/>
      </w:pPr>
      <w:r>
        <w:rPr>
          <w:b/>
          <w:bCs/>
          <w:color w:val="2F5233"/>
          <w:sz w:val="28"/>
          <w:szCs w:val="28"/>
        </w:rPr>
        <w:t xml:space="preserve">5. Sugestões</w:t>
      </w:r>
    </w:p>
    <w:p>
      <w:pPr>
        <w:spacing w:after="160" w:line="300"/>
      </w:pPr>
      <w:r>
        <w:rPr>
          <w:b w:val="false"/>
          <w:bCs w:val="false"/>
          <w:i w:val="false"/>
          <w:iCs w:val="false"/>
          <w:sz w:val="22"/>
          <w:szCs w:val="22"/>
        </w:rPr>
        <w:t xml:space="preserve">Como pedido, seguem pontos de vista específicos sobre como construir — não apenas o que falta:</w:t>
      </w:r>
    </w:p>
    <w:p>
      <w:pPr>
        <w:pStyle w:val="ListParagraph"/>
        <w:numPr>
          <w:ilvl w:val="0"/>
          <w:numId w:val="2"/>
        </w:numPr>
        <w:spacing w:after="90" w:line="280"/>
      </w:pPr>
      <w:r>
        <w:rPr>
          <w:sz w:val="22"/>
          <w:szCs w:val="22"/>
        </w:rPr>
        <w:t xml:space="preserve">Evitar copiar ao pé da letra a árvore de decisão rígida do Script do Bot (N0 a N10 com perguntas sequenciais fixas, pensada para builders visuais como Kommo). Como a extração via IA já está validada, faz mais sentido deixar a IA classificar o ramo e extrair os campos de qualificação em 1 ou 2 trocas de mensagem, em vez de 5 a 6 perguntas roteirizadas — menos fricção para o lead, mesmo custo de chamada de IA que já existe hoje.</w:t>
      </w:r>
    </w:p>
    <w:p>
      <w:pPr>
        <w:pStyle w:val="ListParagraph"/>
        <w:numPr>
          <w:ilvl w:val="0"/>
          <w:numId w:val="2"/>
        </w:numPr>
        <w:spacing w:after="90" w:line="280"/>
      </w:pPr>
      <w:r>
        <w:rPr>
          <w:sz w:val="22"/>
          <w:szCs w:val="22"/>
        </w:rPr>
        <w:t xml:space="preserve">Modelar "unidade" no banco antes de qualquer outra coisa. Sem esse campo, nenhuma regra de roteamento entre as cinco casas funciona — é a lacuna mais bloqueante da lista acima.</w:t>
      </w:r>
    </w:p>
    <w:p>
      <w:pPr>
        <w:pStyle w:val="ListParagraph"/>
        <w:numPr>
          <w:ilvl w:val="0"/>
          <w:numId w:val="2"/>
        </w:numPr>
        <w:spacing w:after="90" w:line="280"/>
      </w:pPr>
      <w:r>
        <w:rPr>
          <w:sz w:val="22"/>
          <w:szCs w:val="22"/>
        </w:rPr>
        <w:t xml:space="preserve">Para mídia, começar pela Opção A da própria Estratégia de Envio de Mídias (Google Drive por unidade com link estável), sem custo adicional, e só migrar para CDN depois de volume real.</w:t>
      </w:r>
    </w:p>
    <w:p>
      <w:pPr>
        <w:pStyle w:val="ListParagraph"/>
        <w:numPr>
          <w:ilvl w:val="0"/>
          <w:numId w:val="2"/>
        </w:numPr>
        <w:spacing w:after="90" w:line="280"/>
      </w:pPr>
      <w:r>
        <w:rPr>
          <w:sz w:val="22"/>
          <w:szCs w:val="22"/>
        </w:rPr>
        <w:t xml:space="preserve">Para o painel, priorizar uma lista simples com filtro por unidade e status (sem drag-and-drop) antes de um kanban completo — resolve a maior parte da dor de visibilidade com uma fração do esforço, podendo evoluir depois.</w:t>
      </w:r>
    </w:p>
    <w:p>
      <w:pPr>
        <w:pStyle w:val="ListParagraph"/>
        <w:numPr>
          <w:ilvl w:val="0"/>
          <w:numId w:val="2"/>
        </w:numPr>
        <w:spacing w:after="90" w:line="280"/>
      </w:pPr>
      <w:r>
        <w:rPr>
          <w:sz w:val="22"/>
          <w:szCs w:val="22"/>
        </w:rPr>
        <w:t xml:space="preserve">Para o handoff, começar notificando o consultor por e-mail (Resend já integrado) ou mensagem direta no WhatsApp interno da unidade — não é necessário infraestrutura nova logo de início.</w:t>
      </w:r>
    </w:p>
    <w:p>
      <w:pPr>
        <w:pStyle w:val="Heading1"/>
        <w:pBdr>
          <w:bottom w:val="single" w:color="2F5233" w:sz="6" w:space="4"/>
        </w:pBdr>
        <w:spacing w:after="160" w:before="360"/>
      </w:pPr>
      <w:r>
        <w:rPr>
          <w:b/>
          <w:bCs/>
          <w:color w:val="2F5233"/>
          <w:sz w:val="28"/>
          <w:szCs w:val="28"/>
        </w:rPr>
        <w:t xml:space="preserve">6. Roadmap Sugerido</w:t>
      </w:r>
    </w:p>
    <w:p>
      <w:pPr>
        <w:pStyle w:val="ListParagraph"/>
        <w:numPr>
          <w:ilvl w:val="0"/>
          <w:numId w:val="3"/>
        </w:numPr>
        <w:spacing w:after="100" w:line="280"/>
      </w:pPr>
      <w:r>
        <w:rPr>
          <w:sz w:val="22"/>
          <w:szCs w:val="22"/>
        </w:rPr>
        <w:t xml:space="preserve">Fechar a Etapa 6 (WhatsApp de teste) — está pausada e bloqueia testar handoff e conversa reais.</w:t>
      </w:r>
    </w:p>
    <w:p>
      <w:pPr>
        <w:pStyle w:val="ListParagraph"/>
        <w:numPr>
          <w:ilvl w:val="0"/>
          <w:numId w:val="3"/>
        </w:numPr>
        <w:spacing w:after="100" w:line="280"/>
      </w:pPr>
      <w:r>
        <w:rPr>
          <w:sz w:val="22"/>
          <w:szCs w:val="22"/>
        </w:rPr>
        <w:t xml:space="preserve">Migrar o schema: adicionar unidade, tags de qualificação e os campos de cross-sell descritos na Parte 12 do Script do Bot (data de aniversário da criança, marcador de destination wedding, etc.).</w:t>
      </w:r>
    </w:p>
    <w:p>
      <w:pPr>
        <w:pStyle w:val="ListParagraph"/>
        <w:numPr>
          <w:ilvl w:val="0"/>
          <w:numId w:val="3"/>
        </w:numPr>
        <w:spacing w:after="100" w:line="280"/>
      </w:pPr>
      <w:r>
        <w:rPr>
          <w:sz w:val="22"/>
          <w:szCs w:val="22"/>
        </w:rPr>
        <w:t xml:space="preserve">Implementar conversation_state e adaptar o worker para um fluxo com múltiplas trocas, em vez de extração de mensagem única.</w:t>
      </w:r>
    </w:p>
    <w:p>
      <w:pPr>
        <w:pStyle w:val="ListParagraph"/>
        <w:numPr>
          <w:ilvl w:val="0"/>
          <w:numId w:val="3"/>
        </w:numPr>
        <w:spacing w:after="100" w:line="280"/>
      </w:pPr>
      <w:r>
        <w:rPr>
          <w:sz w:val="22"/>
          <w:szCs w:val="22"/>
        </w:rPr>
        <w:t xml:space="preserve">Reaproveitar o BullMQ para as réguas de follow-up (2h / 48h / 7 dias / 30 dias).</w:t>
      </w:r>
    </w:p>
    <w:p>
      <w:pPr>
        <w:pStyle w:val="ListParagraph"/>
        <w:numPr>
          <w:ilvl w:val="0"/>
          <w:numId w:val="3"/>
        </w:numPr>
        <w:spacing w:after="100" w:line="280"/>
      </w:pPr>
      <w:r>
        <w:rPr>
          <w:sz w:val="22"/>
          <w:szCs w:val="22"/>
        </w:rPr>
        <w:t xml:space="preserve">Construir o motor de mídia (tabela + lógica de envio), começando pelo ramo infantil, de maior volume.</w:t>
      </w:r>
    </w:p>
    <w:p>
      <w:pPr>
        <w:pStyle w:val="ListParagraph"/>
        <w:numPr>
          <w:ilvl w:val="0"/>
          <w:numId w:val="3"/>
        </w:numPr>
        <w:spacing w:after="100" w:line="280"/>
      </w:pPr>
      <w:r>
        <w:rPr>
          <w:sz w:val="22"/>
          <w:szCs w:val="22"/>
        </w:rPr>
        <w:t xml:space="preserve">Implementar o canal de handoff humano (e-mail via Resend ou WhatsApp interno).</w:t>
      </w:r>
    </w:p>
    <w:p>
      <w:pPr>
        <w:pStyle w:val="ListParagraph"/>
        <w:numPr>
          <w:ilvl w:val="0"/>
          <w:numId w:val="3"/>
        </w:numPr>
        <w:spacing w:after="100" w:line="280"/>
      </w:pPr>
      <w:r>
        <w:rPr>
          <w:sz w:val="22"/>
          <w:szCs w:val="22"/>
        </w:rPr>
        <w:t xml:space="preserve">Construir o painel mínimo de visibilidade sobre o Postgres.</w:t>
      </w:r>
    </w:p>
    <w:p>
      <w:pPr>
        <w:pStyle w:val="ListParagraph"/>
        <w:numPr>
          <w:ilvl w:val="0"/>
          <w:numId w:val="3"/>
        </w:numPr>
        <w:spacing w:after="100" w:line="280"/>
      </w:pPr>
      <w:r>
        <w:rPr>
          <w:sz w:val="22"/>
          <w:szCs w:val="22"/>
        </w:rPr>
        <w:t xml:space="preserve">Confirmar o deploy real em produção (Etapa 9) antes de escalar para as cinco unidades.</w:t>
      </w:r>
    </w:p>
    <w:p>
      <w:pPr>
        <w:pStyle w:val="Heading1"/>
        <w:pBdr>
          <w:bottom w:val="single" w:color="2F5233" w:sz="6" w:space="4"/>
        </w:pBdr>
        <w:spacing w:after="160" w:before="360"/>
      </w:pPr>
      <w:r>
        <w:rPr>
          <w:b/>
          <w:bCs/>
          <w:color w:val="2F5233"/>
          <w:sz w:val="28"/>
          <w:szCs w:val="28"/>
        </w:rPr>
        <w:t xml:space="preserve">7. Em Aberto</w:t>
      </w:r>
    </w:p>
    <w:p>
      <w:pPr>
        <w:spacing w:after="160" w:line="300"/>
      </w:pPr>
      <w:r>
        <w:rPr>
          <w:b w:val="false"/>
          <w:bCs w:val="false"/>
          <w:i w:val="false"/>
          <w:iCs w:val="false"/>
          <w:sz w:val="22"/>
          <w:szCs w:val="22"/>
        </w:rPr>
        <w:t xml:space="preserve">Este documento fica aberto para incorporar os prints que você vai enviar com a referência do que gostaria de ter (provavelmente telas de painel/CRM) — eles devem ajudar a detalhar as seções 5 e 6, principalmente o formato do painel de visibilidade e as prioridades de tela. Assim que chegarem, atualizo este material com essa referência incorporada.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2026-07-25T12:19:58.096Z</dcterms:created>
  <dcterms:modified xsi:type="dcterms:W3CDTF">2026-07-25T12:19:58.097Z</dcterms:modified>
</cp:coreProperties>
</file>

<file path=docProps/custom.xml><?xml version="1.0" encoding="utf-8"?>
<Properties xmlns="http://schemas.openxmlformats.org/officeDocument/2006/custom-properties" xmlns:vt="http://schemas.openxmlformats.org/officeDocument/2006/docPropsVTypes"/>
</file>