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66666"/>
          <w:sz w:val="22"/>
          <w:szCs w:val="22"/>
        </w:rPr>
        <w:t xml:space="preserve">CASA DA ÁRVORE</w:t>
      </w:r>
    </w:p>
    <w:p>
      <w:pPr>
        <w:spacing w:after="80" w:before="200"/>
      </w:pPr>
      <w:r>
        <w:rPr>
          <w:b/>
          <w:bCs/>
          <w:color w:val="2F5233"/>
          <w:sz w:val="40"/>
          <w:szCs w:val="40"/>
        </w:rPr>
        <w:t xml:space="preserve">Direcionamento Estratégico — CRM e Bot Próprios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"O nosso waTidy", do jeito Casa da Árvore — construído sobre a infraestrutura já em produção</w:t>
      </w:r>
    </w:p>
    <w:p>
      <w:pPr>
        <w:spacing w:after="400"/>
      </w:pPr>
      <w:r>
        <w:rPr>
          <w:color w:val="666666"/>
          <w:sz w:val="20"/>
          <w:szCs w:val="20"/>
        </w:rPr>
        <w:t xml:space="preserve">Julho de 2026</w:t>
      </w:r>
    </w:p>
    <w:p>
      <w:pPr>
        <w:pStyle w:val="Heading1"/>
        <w:pBdr>
          <w:bottom w:val="single" w:color="2F5233" w:sz="6" w:space="4"/>
        </w:pBdr>
        <w:spacing w:after="160" w:before="360"/>
      </w:pPr>
      <w:r>
        <w:rPr>
          <w:b/>
          <w:bCs/>
          <w:color w:val="2F5233"/>
          <w:sz w:val="28"/>
          <w:szCs w:val="28"/>
        </w:rPr>
        <w:t xml:space="preserve">1. Decisão de Direção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Entre as duas opções levantadas a partir do material analisado — adotar uma plataforma pronta de CRM/bot (Kommo ou RD Station, como sugeria o Plano de Captação v2) ou seguir construindo um sistema próprio — a direção confirmada é a segunda: um CRM e bot de atendimento próprios, inspirados no benchmarking do waTidy, mas desenhados especificamente para as dores e a operação da Casa da Árvore, e construídos em cima da infraestrutura que já está rodando (Node.js, TypeScript, Express, Postgres, Redis/BullMQ, extração via IA e briefing mensal).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Essa escolha resolve a contradição identificada entre os documentos: a Especificação Funcional CRM vs waTidy defendia construir; o Plano de Captação v2 sugeria comprar. A partir de agora, o Script do Bot de Atendimento e a Estratégia de Envio de Mídias deixam de ser lidos como manual de configuração de uma plataforma terceira e passam a ser lidos como requisito funcional para o sistema próprio.</w:t>
      </w:r>
    </w:p>
    <w:p>
      <w:pPr>
        <w:pStyle w:val="Heading1"/>
        <w:pBdr>
          <w:bottom w:val="single" w:color="2F5233" w:sz="6" w:space="4"/>
        </w:pBdr>
        <w:spacing w:after="160" w:before="360"/>
      </w:pPr>
      <w:r>
        <w:rPr>
          <w:b/>
          <w:bCs/>
          <w:color w:val="2F5233"/>
          <w:sz w:val="28"/>
          <w:szCs w:val="28"/>
        </w:rPr>
        <w:t xml:space="preserve">2. Onde Estamos Hoje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Levantamento feito diretamente no código do projeto (não apenas no README):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3000"/>
      </w:tblGrid>
      <w:tr>
        <w:tc>
          <w:tcPr>
            <w:tcW w:type="dxa" w:w="15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50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0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a 5</w:t>
            </w:r>
          </w:p>
        </w:tc>
        <w:tc>
          <w:tcPr>
            <w:tcW w:type="dxa" w:w="50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Concluídas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Estrutura, schema, ingestão, fila assíncrona, extração via IA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Concluída — validada em produção real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Round-trip completo testado ao vivo pelo número de teste do WhatsApp: mensagem recebida, assinatura validada, extração via IA, resposta automática enviada e recebida no celular em segundos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 e 8</w:t>
            </w:r>
          </w:p>
        </w:tc>
        <w:tc>
          <w:tcPr>
            <w:tcW w:type="dxa" w:w="50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Concluídas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Briefing mensal por e-mail e logs estruturados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Documentada, a confirmar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Deploy via Railway — verificar se o teste da Etapa 6 rodou contra o Railway ou contra ambiente local com túnel</w:t>
            </w:r>
          </w:p>
        </w:tc>
      </w:tr>
    </w:tbl>
    <w:p>
      <w:pPr>
        <w:spacing w:after="160" w:before="200"/>
      </w:pP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Correção em relação à primeira versão deste documento: a leitura inicial do .env local levou à conclusão de que a Etapa 6 estava pausada, por WHATSAPP_APP_SECRET, WHATSAPP_ACCESS_TOKEN e WHATSAPP_PHONE_NUMBER_ID aparecerem vazios nesse arquivo. Dois testes ao vivo (um no dia anterior, um durante a própria revisão deste documento) confirmaram resposta automática real do bot em segundos, provando que o fluxo completo funciona na prática. A explicação mais provável é que essas credenciais estão configuradas no ambiente que efetivamente roda o servidor (Railway ou outro .env não presente neste checkout), não neste arquivo local — o que reforça que o valor de qualquer diagnóstico de status precisa ser cruzado com teste real, não só com o que está versionado no repositório.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 sistema atual vai, portanto, além de ingestão e inteligência de demanda pura: já fecha o ciclo mensagem → extração via IA → resposta automática pelo número de teste do WhatsApp. O que ainda não existe é: campo de unidade no banco (o schema foi feito para uma operação única, não para as cinco casas do portfólio), estado de conversa multi-etapa do bot, painel visual (kanban), motor de envio de mídia, canal de handoff para humano, e réguas automáticas de follow-up — a mensagem de confirmação testada é só o primeiro nó (N0/resposta imediata), não o fluxo de qualificação completo do Script do Bot.</w:t>
      </w:r>
    </w:p>
    <w:p>
      <w:pPr>
        <w:pStyle w:val="Heading1"/>
        <w:pBdr>
          <w:bottom w:val="single" w:color="2F5233" w:sz="6" w:space="4"/>
        </w:pBdr>
        <w:spacing w:after="160" w:before="360"/>
      </w:pPr>
      <w:r>
        <w:rPr>
          <w:b/>
          <w:bCs/>
          <w:color w:val="2F5233"/>
          <w:sz w:val="28"/>
          <w:szCs w:val="28"/>
        </w:rPr>
        <w:t xml:space="preserve">3. Lacunas entre a Especificação e o Sistema Atual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Cruzando o Script do Bot de Atendimento e a Estratégia de Envio de Mídias com o código real: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600"/>
      </w:tblGrid>
      <w:tr>
        <w:tc>
          <w:tcPr>
            <w:tcW w:type="dxa" w:w="23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a especificação pede</w:t>
            </w:r>
          </w:p>
        </w:tc>
        <w:tc>
          <w:tcPr>
            <w:tcW w:type="dxa" w:w="36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existe hoje</w:t>
            </w:r>
          </w:p>
        </w:tc>
        <w:tc>
          <w:tcPr>
            <w:tcW w:type="dxa" w:w="36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Lacuna / ação necessária</w:t>
            </w:r>
          </w:p>
        </w:tc>
      </w:tr>
      <w:tr>
        <w:tc>
          <w:tcPr>
            <w:tcW w:type="dxa" w:w="23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Roteamento entre 5 unidades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Schema sem coluna de unidade; operação tratada como única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Migrar schema: adicionar unidade antes de qualquer automação de roteamento</w:t>
            </w:r>
          </w:p>
        </w:tc>
      </w:tr>
      <w:tr>
        <w:tc>
          <w:tcPr>
            <w:tcW w:type="dxa" w:w="23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Fluxo de conversa em nós (N0 a N10)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Worker extrai dados de uma mensagem isolada, sem estado persistente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Criar conversation_state (nó atual, ramo, histórico) e adaptar o worker para fluxo com múltiplas trocas</w:t>
            </w:r>
          </w:p>
        </w:tc>
      </w:tr>
      <w:tr>
        <w:tc>
          <w:tcPr>
            <w:tcW w:type="dxa" w:w="23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Funil visual (kanban) por unidade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Só tabela leads + status; sem interface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Construir painel mínimo de visibilidade, evoluir para kanban depois</w:t>
            </w:r>
          </w:p>
        </w:tc>
      </w:tr>
      <w:tr>
        <w:tc>
          <w:tcPr>
            <w:tcW w:type="dxa" w:w="23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Envio progressivo de mídia em 4 etapas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Não implementado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Criar media_library (código, unidade, perfil) + lógica de disparo via WhatsApp API</w:t>
            </w:r>
          </w:p>
        </w:tc>
      </w:tr>
      <w:tr>
        <w:tc>
          <w:tcPr>
            <w:tcW w:type="dxa" w:w="23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Handoff para humano com SLA por unidade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canal de notificação a atendente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Notificar via Resend (já integrado) ou WhatsApp interno</w:t>
            </w:r>
          </w:p>
        </w:tc>
      </w:tr>
      <w:tr>
        <w:tc>
          <w:tcPr>
            <w:tcW w:type="dxa" w:w="23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Réguas de follow-up (2h / 48h / 7d / 30d)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BullMQ existe, mas só para processamento imediato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Reaproveitar BullMQ (delayed jobs) — infraestrutura pronta, falta implementar os jobs</w:t>
            </w:r>
          </w:p>
        </w:tc>
      </w:tr>
      <w:tr>
        <w:tc>
          <w:tcPr>
            <w:tcW w:type="dxa" w:w="23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Detecção de engajamento (emoji, palavra-chave, silêncio)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anthropic.service.ts já extrai e valida dados do lead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Estender o mesmo serviço — não é construção do zero</w:t>
            </w:r>
          </w:p>
        </w:tc>
      </w:tr>
      <w:tr>
        <w:tc>
          <w:tcPr>
            <w:tcW w:type="dxa" w:w="2300"/>
            <w:shd w:fill="E8F0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Tags de qualificação (quente/morno/frio, destination, corporativo)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Existe status_lead_enum, mas sem tags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Adicionar campo de tags ao lead</w:t>
            </w:r>
          </w:p>
        </w:tc>
      </w:tr>
    </w:tbl>
    <w:p>
      <w:pPr>
        <w:pStyle w:val="Heading1"/>
        <w:pBdr>
          <w:bottom w:val="single" w:color="2F5233" w:sz="6" w:space="4"/>
        </w:pBdr>
        <w:spacing w:after="160" w:before="360"/>
      </w:pPr>
      <w:r>
        <w:rPr>
          <w:b/>
          <w:bCs/>
          <w:color w:val="2F5233"/>
          <w:sz w:val="28"/>
          <w:szCs w:val="28"/>
        </w:rPr>
        <w:t xml:space="preserve">4. O Que Já Está Pronto Para Reaproveitar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Fila assíncrona (Redis/BullMQ): já resolve concorrência e pode virar o motor das réguas de follow-up sem novas dependências.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anthropic.service.ts (extração com validação de enum e retry): mesma base pode virar o "cérebro" de classificação de intenção e detecção de sinais do bot, evitando reconstruir uma árvore de decisão rígida nó a nó.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raw_messages: já garante auditoria e reprocessamento — essencial para qualquer bot em produção.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Logs estruturados com rawMessageId rastreável: facilita depurar o novo motor de conversa desde o dia 1.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Dockerfile de produção e briefing mensal com Resend: infraestrutura de deploy e de e-mail já disponíveis para o canal de handoff e alertas.</w:t>
      </w:r>
    </w:p>
    <w:p>
      <w:pPr>
        <w:pStyle w:val="Heading1"/>
        <w:pBdr>
          <w:bottom w:val="single" w:color="2F5233" w:sz="6" w:space="4"/>
        </w:pBdr>
        <w:spacing w:after="160" w:before="360"/>
      </w:pPr>
      <w:r>
        <w:rPr>
          <w:b/>
          <w:bCs/>
          <w:color w:val="2F5233"/>
          <w:sz w:val="28"/>
          <w:szCs w:val="28"/>
        </w:rPr>
        <w:t xml:space="preserve">5. Sugestões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Como pedido, seguem pontos de vista específicos sobre como construir — não apenas o que falta: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Evitar copiar ao pé da letra a árvore de decisão rígida do Script do Bot (N0 a N10 com perguntas sequenciais fixas, pensada para builders visuais como Kommo). Como a extração via IA já está validada, faz mais sentido deixar a IA classificar o ramo e extrair os campos de qualificação em 1 ou 2 trocas de mensagem, em vez de 5 a 6 perguntas roteirizadas — menos fricção para o lead, mesmo custo de chamada de IA que já existe hoje.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Modelar "unidade" no banco antes de qualquer outra coisa. Sem esse campo, nenhuma regra de roteamento entre as cinco casas funciona — é a lacuna mais bloqueante da lista acima.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Para mídia, começar pela Opção A da própria Estratégia de Envio de Mídias (Google Drive por unidade com link estável), sem custo adicional, e só migrar para CDN depois de volume real.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Para o painel, priorizar uma lista simples com filtro por unidade e status (sem drag-and-drop) antes de um kanban completo — resolve a maior parte da dor de visibilidade com uma fração do esforço, podendo evoluir depois.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Para o handoff, começar notificando o consultor por e-mail (Resend já integrado) ou mensagem direta no WhatsApp interno da unidade — não é necessário infraestrutura nova logo de início.</w:t>
      </w:r>
    </w:p>
    <w:p>
      <w:pPr>
        <w:pStyle w:val="Heading1"/>
        <w:pBdr>
          <w:bottom w:val="single" w:color="2F5233" w:sz="6" w:space="4"/>
        </w:pBdr>
        <w:spacing w:after="160" w:before="360"/>
      </w:pPr>
      <w:r>
        <w:rPr>
          <w:b/>
          <w:bCs/>
          <w:color w:val="2F5233"/>
          <w:sz w:val="28"/>
          <w:szCs w:val="28"/>
        </w:rPr>
        <w:t xml:space="preserve">6. Roadmap Sugerido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Confirmar formalmente onde a Etapa 6 está rodando (Railway ou local + túnel) e documentar as credenciais no lugar certo — o round-trip já funciona, falta só consolidar o ambiente.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Migrar o schema: adicionar unidade, tags de qualificação e os campos de cross-sell descritos na Parte 12 do Script do Bot (data de aniversário da criança, marcador de destination wedding, etc.) — esta é a lacuna mais bloqueante para expandir do número de teste para as cinco unidades.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Implementar conversation_state e adaptar o worker para um fluxo com múltiplas trocas, em vez de extração de mensagem única.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Reaproveitar o BullMQ para as réguas de follow-up (2h / 48h / 7 dias / 30 dias).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Construir o motor de mídia (tabela + lógica de envio), começando pelo ramo infantil, de maior volume.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Implementar o canal de handoff humano (e-mail via Resend ou WhatsApp interno).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Construir o painel mínimo de visibilidade sobre o Postgres.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Escalar do número de teste para o número de produção definitivo, já com o roteamento multi-unidade implementado.</w:t>
      </w:r>
    </w:p>
    <w:p>
      <w:pPr>
        <w:pStyle w:val="Heading1"/>
        <w:pBdr>
          <w:bottom w:val="single" w:color="2F5233" w:sz="6" w:space="4"/>
        </w:pBdr>
        <w:spacing w:after="160" w:before="360"/>
      </w:pPr>
      <w:r>
        <w:rPr>
          <w:b/>
          <w:bCs/>
          <w:color w:val="2F5233"/>
          <w:sz w:val="28"/>
          <w:szCs w:val="28"/>
        </w:rPr>
        <w:t xml:space="preserve">7. Em Aberto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Este documento fica aberto para incorporar os prints que você vai enviar com a referência do que gostaria de ter (provavelmente telas de painel/CRM) — eles devem ajudar a detalhar as seções 5 e 6, principalmente o formato do painel de visibilidade e as prioridades de tela. Assim que chegarem, atualizo este material com essa referência incorporada.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–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2026-07-25T12:40:26.157Z</dcterms:created>
  <dcterms:modified xsi:type="dcterms:W3CDTF">2026-07-25T12:40:26.157Z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