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CASA DA ÁRVORE</w:t>
      </w:r>
    </w:p>
    <w:p>
      <w:pPr>
        <w:spacing w:after="80" w:before="200"/>
      </w:pPr>
      <w:r>
        <w:rPr>
          <w:b/>
          <w:bCs/>
          <w:color w:val="2F5233"/>
          <w:sz w:val="40"/>
          <w:szCs w:val="40"/>
        </w:rPr>
        <w:t xml:space="preserve">Fluxo Detalhado do Bot e CRM Próprio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Especificação de implementação — estados, regras e dados, para construir direto em cima do sistema já em produção (Node.js/TypeScript/Postgres/Redis/BullMQ)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Julho de 2026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1. Objetivo e Como Ler Este Documento</w:t>
      </w:r>
    </w:p>
    <w:p>
      <w:pPr>
        <w:spacing w:after="160" w:line="300"/>
      </w:pPr>
      <w:r>
        <w:rPr>
          <w:sz w:val="22"/>
          <w:szCs w:val="22"/>
        </w:rPr>
        <w:t xml:space="preserve">Este documento traduz o Script do Bot de Atendimento, a Estratégia de Envio de Mídias e o Plano de Captação v2 para uma especificação de implementação compatível com o sistema já em produção — não com um builder visual como Kommo ou RD Station.</w:t>
      </w:r>
    </w:p>
    <w:p>
      <w:pPr>
        <w:spacing w:after="160" w:line="300"/>
      </w:pPr>
      <w:r>
        <w:rPr>
          <w:sz w:val="22"/>
          <w:szCs w:val="22"/>
        </w:rPr>
        <w:t xml:space="preserve">Diferença importante em relação aos documentos originais: lá, cada nó do fluxo tinha um texto de mensagem fixo, porque a plataforma exigia configurar cada resposta manualmente. Aqui, como a extração via IA (anthropic.service.ts) já está validada em produção, o que precisa ser rígido são os estados, os dados obrigatórios por etapa e as regras de decisão — a redação da mensagem em si pode ser gerada pela IA dentro dessas regras, com mais naturalidade e menos perguntas engessadas em sequência.</w:t>
      </w:r>
    </w:p>
    <w:p>
      <w:pPr>
        <w:spacing w:after="160" w:line="300"/>
      </w:pPr>
      <w:r>
        <w:rPr>
          <w:sz w:val="22"/>
          <w:szCs w:val="22"/>
        </w:rPr>
        <w:t xml:space="preserve">A leitura recomendada: Seção 2 (modelo de dados) primeiro, porque é pré-requisito de tudo — hoje o schema não tem campo de unidade, o que bloqueia qualquer regra de roteamento. Depois, Seções 3 a 7 detalham cada parte do fluxo por área (ramos de evento, mídia, handoff, follow-up).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2. Modelo de Dados — Pré-requisito</w:t>
      </w:r>
    </w:p>
    <w:p>
      <w:pPr>
        <w:spacing w:after="160" w:line="300"/>
      </w:pPr>
      <w:r>
        <w:rPr>
          <w:sz w:val="22"/>
          <w:szCs w:val="22"/>
        </w:rPr>
        <w:t xml:space="preserve">Mudanças necessárias no schema (src/db/schema.sql) antes de implementar qualquer lógica de fluxo: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2.1 Unidade (bloqueio principal)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CREATE TYPE unidade_enum AS ENUM (
  'casa_da_arvore', 'park_lagos', 'shopping_park_lagos', 'casarao', 'casa_por_do_sol'
);</w:t>
      </w:r>
    </w:p>
    <w:p>
      <w:pPr>
        <w:spacing w:after="160" w:line="300"/>
      </w:pPr>
      <w:r>
        <w:rPr>
          <w:sz w:val="22"/>
          <w:szCs w:val="22"/>
        </w:rPr>
        <w:t xml:space="preserve">Adicionar à tabela leads: unidade_recomendada unidade_enum e unidade_confirmada unidade_enum (a primeira é o que o sistema sugere; a segunda, o que o consultor confirma no handoff — podem divergir).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2.2 Estado de conversa</w:t>
      </w:r>
    </w:p>
    <w:p>
      <w:pPr>
        <w:spacing w:after="160" w:line="300"/>
      </w:pPr>
      <w:r>
        <w:rPr>
          <w:sz w:val="22"/>
          <w:szCs w:val="22"/>
        </w:rPr>
        <w:t xml:space="preserve">Nova tabela conversation_state, uma linha por lead, para o worker saber em que ponto do fluxo cada conversa está sem depender de reprocessar o histórico inteiro a cada mensagem: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CREATE TABLE conversation_state (
  lead_id UUID PRIMARY KEY REFERENCES leads(id),
  ramo TEXT,                     -- 'infantil' | '15_anos' | 'casamento' |
                                  -- 'corporativo' | 'recreacao_avulsa' | 'outro'
  etapa_atual TEXT NOT NULL DEFAULT 'triagem',
  dados_coletados JSONB NOT NULL DEFAULT '{}',
  aguardando_engajamento_etapa_midia INT,  -- 1 a 4, ou null
  ultimo_envio_midia_em TIMESTAMPTZ,
  em_atendimento_humano BOOLEAN NOT NULL DEFAULT false,
  updated_at TIMESTAMPTZ NOT NULL DEFAULT now()
);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2.3 Tags e campos de qualificação</w:t>
      </w:r>
    </w:p>
    <w:p>
      <w:pPr>
        <w:spacing w:after="160" w:line="300"/>
      </w:pPr>
      <w:r>
        <w:rPr>
          <w:sz w:val="22"/>
          <w:szCs w:val="22"/>
        </w:rPr>
        <w:t xml:space="preserve">Adicionar à tabela leads: tags TEXT[] (ex.: 'quente', 'morno', 'frio', 'destination', 'corporativo'), origem_lead TEXT (Instagram, Google, indicação, direto), e os campos específicos por ramo (ver Seção 3 — a maioria já existe ou é extensão simples do schema atual).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2.4 Biblioteca de mídia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CREATE TABLE media_library (
  codigo TEXT PRIMARY KEY,        -- ex.: 'ARV-FOT-EVT-INF-G-01'
  unidade unidade_enum NOT NULL,
  tipo TEXT NOT NULL,              -- 'foto' | 'video' | 'catalogo' | 'cupom'
  categoria TEXT NOT NULL,         -- 'externa' | 'evento' | 'tour' | 'catalogo'
  perfil_lead TEXT,                -- ex.: 'infantil_grande', 'destination'
  url TEXT NOT NULL,
  ativo BOOLEAN NOT NULL DEFAULT true
);</w:t>
      </w:r>
    </w:p>
    <w:p>
      <w:pPr>
        <w:spacing w:after="160" w:line="300"/>
      </w:pPr>
      <w:r>
        <w:rPr>
          <w:sz w:val="22"/>
          <w:szCs w:val="22"/>
        </w:rPr>
        <w:t xml:space="preserve">Nomenclatura de código idêntica à já definida na Estratégia de Envio de Mídias (Parte 10) — não é necessário reinventar, só migrar a tabela do Anexo para o Postgres.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3. Ramos do Fluxo (Ramo = tipo de evento)</w:t>
      </w:r>
    </w:p>
    <w:p>
      <w:pPr>
        <w:spacing w:after="160" w:line="300"/>
      </w:pPr>
      <w:r>
        <w:rPr>
          <w:sz w:val="22"/>
          <w:szCs w:val="22"/>
        </w:rPr>
        <w:t xml:space="preserve">Para cada ramo: dados obrigatórios a coletar (via extração por IA, não por pergunta sequencial fixa), e a regra de roteamento entre unidades quando aplicável.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3.1 Ramo A — Festa Infantil</w:t>
      </w:r>
    </w:p>
    <w:p>
      <w:pPr>
        <w:spacing w:after="160" w:line="300"/>
      </w:pPr>
      <w:r>
        <w:rPr>
          <w:sz w:val="22"/>
          <w:szCs w:val="22"/>
        </w:rPr>
        <w:t xml:space="preserve">Dados a coletar: nome e idade do(a) aniversariante, data desejada, número de convidados, faixa de investimento (opcional), tema (se mencionado).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00"/>
      </w:tblGrid>
      <w:tr>
        <w:tc>
          <w:tcPr>
            <w:tcW w:type="dxa" w:w="28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Convidados</w:t>
            </w:r>
          </w:p>
        </w:tc>
        <w:tc>
          <w:tcPr>
            <w:tcW w:type="dxa" w:w="28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29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Unidade recomendada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Até 50</w:t>
            </w:r>
          </w:p>
        </w:tc>
        <w:tc>
          <w:tcPr>
            <w:tcW w:type="dxa" w:w="28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Qualquer faixa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Park Lagos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a 100</w:t>
            </w:r>
          </w:p>
        </w:tc>
        <w:tc>
          <w:tcPr>
            <w:tcW w:type="dxa" w:w="28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Até R$ 20 mil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Park Lagos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a 100</w:t>
            </w:r>
          </w:p>
        </w:tc>
        <w:tc>
          <w:tcPr>
            <w:tcW w:type="dxa" w:w="28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Acima de R$ 20 mil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da Árvore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a 200 / mais de 200</w:t>
            </w:r>
          </w:p>
        </w:tc>
        <w:tc>
          <w:tcPr>
            <w:tcW w:type="dxa" w:w="28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Qualquer faixa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da Árvore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3.2 Ramo B — 15 Anos</w:t>
      </w:r>
    </w:p>
    <w:p>
      <w:pPr>
        <w:spacing w:after="160" w:line="300"/>
      </w:pPr>
      <w:r>
        <w:rPr>
          <w:sz w:val="22"/>
          <w:szCs w:val="22"/>
        </w:rPr>
        <w:t xml:space="preserve">Sempre roteado para o Casarão. Dados a coletar: nome da debutante, data desejada, formato preferido (tradicional / moderno / intimista / não decidiu), número de convidados — o formato define a curadoria de mídia (Seção 4), não a unidade.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3.3 Ramo C — Casamento</w:t>
      </w:r>
    </w:p>
    <w:p>
      <w:pPr>
        <w:spacing w:after="160" w:line="300"/>
      </w:pPr>
      <w:r>
        <w:rPr>
          <w:sz w:val="22"/>
          <w:szCs w:val="22"/>
        </w:rPr>
        <w:t xml:space="preserve">Dados a coletar: nomes dos noivos, origem do casal (Cabo Frio / outra cidade / exterior), preferência de espaço (vista mar / climatizado / aberto / aberto às duas opções), data desejada, número de convidados, interesse em hospedagem parceira.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</w:tblGrid>
      <w:tr>
        <w:tc>
          <w:tcPr>
            <w:tcW w:type="dxa" w:w="4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Sinal do lead</w:t>
            </w:r>
          </w:p>
        </w:tc>
        <w:tc>
          <w:tcPr>
            <w:tcW w:type="dxa" w:w="4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Unidade recomendada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Preferência explícita por vista para o mar / menção a destination wedding / casal de fora (outra cidade, exterior)</w:t>
            </w:r>
          </w:p>
        </w:tc>
        <w:tc>
          <w:tcPr>
            <w:tcW w:type="dxa" w:w="4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 Pôr do Sol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Preferência por espaço climatizado/aberto, sem menção a vista mar, casal local</w:t>
            </w:r>
          </w:p>
        </w:tc>
        <w:tc>
          <w:tcPr>
            <w:tcW w:type="dxa" w:w="4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Casarão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especificou / aberto às duas opções</w:t>
            </w:r>
          </w:p>
        </w:tc>
        <w:tc>
          <w:tcPr>
            <w:tcW w:type="dxa" w:w="4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Enviar mídia das duas unidades e deixar o próprio lead sinalizar preferência antes do handoff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3.4 Ramo D — Corporativo</w:t>
      </w:r>
    </w:p>
    <w:p>
      <w:pPr>
        <w:spacing w:after="160" w:line="300"/>
      </w:pPr>
      <w:r>
        <w:rPr>
          <w:sz w:val="22"/>
          <w:szCs w:val="22"/>
        </w:rPr>
        <w:t xml:space="preserve">Sempre roteado para o Casarão. Dados a coletar: nome da empresa, nome e cargo do contato, tipo de evento (convenção, confraternização, treinamento, lançamento), número de participantes, data/período, necessidades técnicas (auditório, catering, estacionamento, internet). Fluxo de mídia acelerado (ver Seção 4.5) e handoff imediato — o perfil B2B decide por ficha técnica, não por régua de engajamento.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3.5 Ramo E — Recreação Avulsa</w:t>
      </w:r>
    </w:p>
    <w:p>
      <w:pPr>
        <w:spacing w:after="160" w:line="300"/>
      </w:pPr>
      <w:r>
        <w:rPr>
          <w:sz w:val="22"/>
          <w:szCs w:val="22"/>
        </w:rPr>
        <w:t xml:space="preserve">Sempre roteado para o Shopping Park Lagos. Dados a coletar: nome do responsável, nome e idade da(s) criança(s), data de aniversário da criança (campo crítico — é o gatilho de cross-sell futuro para festa fechada). Oferecer cupom de desconto para conversão em festa fechada na Casa da Árvore ou Park Lagos.</w:t>
      </w:r>
    </w:p>
    <w:p>
      <w:pPr>
        <w:pStyle w:val="Heading2"/>
        <w:spacing w:after="120" w:before="260"/>
      </w:pPr>
      <w:r>
        <w:rPr>
          <w:b/>
          <w:bCs/>
          <w:color w:val="2F5233"/>
          <w:sz w:val="24"/>
          <w:szCs w:val="24"/>
        </w:rPr>
        <w:t xml:space="preserve">3.6 Ramo F — Outro / Não Identificado</w:t>
      </w:r>
    </w:p>
    <w:p>
      <w:pPr>
        <w:spacing w:after="160" w:line="300"/>
      </w:pPr>
      <w:r>
        <w:rPr>
          <w:sz w:val="22"/>
          <w:szCs w:val="22"/>
        </w:rPr>
        <w:t xml:space="preserve">Qualquer evento fora dos 5 tipos principais (chá de bebê, batizado, evento fora do padrão) ou mensagem que a IA não conseguiu classificar com confiança: registrar como lead a qualificar e acionar handoff imediato, sem tentar rotear automaticamente.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4. Motor de Mídia Progressiva</w:t>
      </w:r>
    </w:p>
    <w:p>
      <w:pPr>
        <w:spacing w:after="160" w:line="300"/>
      </w:pPr>
      <w:r>
        <w:rPr>
          <w:sz w:val="22"/>
          <w:szCs w:val="22"/>
        </w:rPr>
        <w:t xml:space="preserve">Baseado na Estratégia de Envio de Mídias, adaptado para os campos de conversation_state.aguardando_engajamento_etapa_midia: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100"/>
      </w:tblGrid>
      <w:tr>
        <w:tc>
          <w:tcPr>
            <w:tcW w:type="dxa" w:w="1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envia</w:t>
            </w:r>
          </w:p>
        </w:tc>
        <w:tc>
          <w:tcPr>
            <w:tcW w:type="dxa" w:w="41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Avança quando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foto icônica da unidade recomendada</w:t>
            </w:r>
          </w:p>
        </w:tc>
        <w:tc>
          <w:tcPr>
            <w:tcW w:type="dxa" w:w="4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Emoji/palavra positiva, pergunta específica, ou pedido de mais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vídeo curto de tour (15–30s)</w:t>
            </w:r>
          </w:p>
        </w:tc>
        <w:tc>
          <w:tcPr>
            <w:tcW w:type="dxa" w:w="4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Mesmos sinais da Etapa 1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a 4 fotos de eventos reais, curadas por perfil (Parte 4 da Estratégia de Mídias)</w:t>
            </w:r>
          </w:p>
        </w:tc>
        <w:tc>
          <w:tcPr>
            <w:tcW w:type="dxa" w:w="4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Sinal positivo OU pergunta sobre valores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Catálogo em PDF</w:t>
            </w:r>
          </w:p>
        </w:tc>
        <w:tc>
          <w:tcPr>
            <w:tcW w:type="dxa" w:w="4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em 1 a 3 minutos após qualquer resposta de interesse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Regras de pausa: silêncio acima de 15 minutos pausa a régua (sem cancelar o lead); resposta desinteressada ("vou ver depois") não avança automaticamente; pergunta direta de valor pula direto para a Etapa 4. Exceção corporativo (Ramo D): Etapa 1 mantida, Etapa 2 opcional, Etapas 3 e 4 comprimidas e enviadas juntas, handoff em até 10 minutos sem esperar sinal de engajamento.</w:t>
      </w:r>
    </w:p>
    <w:p>
      <w:pPr>
        <w:spacing w:after="160" w:line="300"/>
      </w:pPr>
      <w:r>
        <w:rPr>
          <w:sz w:val="22"/>
          <w:szCs w:val="22"/>
        </w:rPr>
        <w:t xml:space="preserve">A extração via IA já roda a cada mensagem recebida — o mesmo serviço pode ser estendido para classificar o sinal (positivo, neutro, negativo, pergunta de valor, pedido de visita) como parte da mesma chamada, sem duplicar custo de IA.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5. Handoff para Atendimento Humano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200"/>
      </w:tblGrid>
      <w:tr>
        <w:tc>
          <w:tcPr>
            <w:tcW w:type="dxa" w:w="4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4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Pedido explícito de humano/consultor/vendedor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Pedido de visita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Pergunta sobre valor final / desconto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Pedido de contrato / "quero fechar"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Reclamação/insatisfação (palavras-chave)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 para gerente, nunca resposta comercial padrão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mensagens de dúvida seguidas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sugerido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Fallback: IA não entende 2 vezes seguidas</w:t>
            </w:r>
          </w:p>
        </w:tc>
        <w:tc>
          <w:tcPr>
            <w:tcW w:type="dxa" w:w="42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Handoff imediato, tag "precisa qualificação humana"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SLA por unidade (tempo máximo de resposta humana após handoff): 15 min em horário comercial para Casa da Árvore, Park Lagos e Casarão; 20 min para Casa Pôr do Sol; 30 min para Shopping Park Lagos; 10 min para Corporativo. Fora do horário: primeira hora do dia útil seguinte.</w:t>
      </w:r>
    </w:p>
    <w:p>
      <w:pPr>
        <w:spacing w:after="160" w:line="300"/>
      </w:pPr>
      <w:r>
        <w:rPr>
          <w:sz w:val="22"/>
          <w:szCs w:val="22"/>
        </w:rPr>
        <w:t xml:space="preserve">Canal de notificação sugerido para o dia 1 (sem infraestrutura nova): e-mail via Resend (já integrado no serviço de briefing) para o consultor da unidade, ou mensagem direta no WhatsApp interno. Se o lead que já passou por handoff escrever de novo dias depois, o sistema não deve reiniciar o fluxo — só notificar o consultor responsável que a conversa está em atendimento humano (campo em_atendimento_humano em conversation_state).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6. Follow-ups Automáticos</w:t>
      </w:r>
    </w:p>
    <w:p>
      <w:pPr>
        <w:spacing w:after="160" w:line="300"/>
      </w:pPr>
      <w:r>
        <w:rPr>
          <w:sz w:val="22"/>
          <w:szCs w:val="22"/>
        </w:rPr>
        <w:t xml:space="preserve">Reaproveitar o BullMQ (já em uso para o processamento da fila) com jobs atrasados (delayed jobs) — não é necessário nova infraestrutura: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100"/>
      </w:tblGrid>
      <w:tr>
        <w:tc>
          <w:tcPr>
            <w:tcW w:type="dxa" w:w="2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Régua</w:t>
            </w:r>
          </w:p>
        </w:tc>
        <w:tc>
          <w:tcPr>
            <w:tcW w:type="dxa" w:w="3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Condição de disparo</w:t>
            </w:r>
          </w:p>
        </w:tc>
        <w:tc>
          <w:tcPr>
            <w:tcW w:type="dxa" w:w="31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Cancelamento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horas</w:t>
            </w:r>
          </w:p>
        </w:tc>
        <w:tc>
          <w:tcPr>
            <w:tcW w:type="dxa" w:w="34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resposta após envio de catálogo/mídia, em horário comercial</w:t>
            </w:r>
          </w:p>
        </w:tc>
        <w:tc>
          <w:tcPr>
            <w:tcW w:type="dxa" w:w="3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Cancela se o lead responder a qualquer momento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horas</w:t>
            </w:r>
          </w:p>
        </w:tc>
        <w:tc>
          <w:tcPr>
            <w:tcW w:type="dxa" w:w="34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resposta após o follow-up de 2h</w:t>
            </w:r>
          </w:p>
        </w:tc>
        <w:tc>
          <w:tcPr>
            <w:tcW w:type="dxa" w:w="3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dias</w:t>
            </w:r>
          </w:p>
        </w:tc>
        <w:tc>
          <w:tcPr>
            <w:tcW w:type="dxa" w:w="34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Última tentativa ativa antes da nutrição passiva</w:t>
            </w:r>
          </w:p>
        </w:tc>
        <w:tc>
          <w:tcPr>
            <w:tcW w:type="dxa" w:w="3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dias (nutrição)</w:t>
            </w:r>
          </w:p>
        </w:tc>
        <w:tc>
          <w:tcPr>
            <w:tcW w:type="dxa" w:w="34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Leads frios recebem conteúdo periódico (fotos recentes, promoções sazonais)</w:t>
            </w:r>
          </w:p>
        </w:tc>
        <w:tc>
          <w:tcPr>
            <w:tcW w:type="dxa" w:w="31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Régua de ciclo de vida (cross-sell), disparada por evento e não por tempo parado: aniversário do cliente/criança (1 semana antes), criança completando 14 anos (convite para o Casarão), 1º aniversário de casamento (oferta de evento no Casarão), cliente corporativo 1 ano após o evento (nova prospecção), lead frio há 12 meses (última campanha + arquivamento).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7. Campos de CRM Consolidados</w:t>
      </w:r>
    </w:p>
    <w:p>
      <w:pPr>
        <w:spacing w:after="160" w:line="300"/>
      </w:pPr>
      <w:r>
        <w:rPr>
          <w:sz w:val="22"/>
          <w:szCs w:val="22"/>
        </w:rPr>
        <w:t xml:space="preserve">Comuns a todos os ramos: nome do cliente, telefone WhatsApp, e-mail (coletado no handoff), tipo de evento, unidade recomendada, data do primeiro contato, origem do lead, etapa atual do funil, tags de qualificação.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Festa infantil: nome e idade do aniversariante, data, convidados, investimento, tema.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15 anos: nome da debutante, data, formato, convidados.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Casamento: nomes dos noivos, origem do casal, preferência de espaço, data, convidados, interesse em hospedagem, marcador destination wedding.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Corporativo: empresa, contato e cargo, tipo de evento, participantes, data/período, necessidades técnicas.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Recreação avulsa: responsável, criança(s) e idade(s), data de aniversário da criança, cupom aceito (S/N).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8. Checklist de Implementação</w:t>
      </w:r>
    </w:p>
    <w:p>
      <w:pPr>
        <w:spacing w:after="160" w:line="300"/>
      </w:pPr>
      <w:r>
        <w:rPr>
          <w:sz w:val="22"/>
          <w:szCs w:val="22"/>
        </w:rPr>
        <w:t xml:space="preserve">Ordem sugerida de construção, cada item depende do anterior: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1. Migrar schema: unidade_enum, conversation_state, tags, media_library.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2. Estender anthropic.service.ts para classificar ramo + extrair campos por ramo + detectar sinal de engajamento/handoff numa única chamada.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3. Implementar as tabelas de roteamento da Seção 3 como regras no worker (processMessage.job.ts).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4. Popular media_library (mesmo que manualmente a princípio) e implementar o envio progressivo da Seção 4.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5. Implementar handoff (Seção 5) com notificação via Resend.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6. Implementar as réguas de follow-up (Seção 6) como jobs atrasados no BullMQ.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7. Painel mínimo de visibilidade sobre os campos da Seção 7.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2026-07-25T13:27:58.702Z</dcterms:created>
  <dcterms:modified xsi:type="dcterms:W3CDTF">2026-07-25T13:27:58.706Z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