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EEE5A">
      <w:pPr>
        <w:spacing w:before="1600" w:after="0"/>
      </w:pPr>
    </w:p>
    <w:p w14:paraId="28B4B811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1E3A5F"/>
          <w:sz w:val="54"/>
          <w:szCs w:val="54"/>
        </w:rPr>
        <w:t>荣科健康管理平台</w:t>
      </w:r>
    </w:p>
    <w:p w14:paraId="7A22811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E8622A"/>
          <w:sz w:val="42"/>
          <w:szCs w:val="42"/>
        </w:rPr>
        <w:t>AI Agent 协同体系</w:t>
      </w:r>
    </w:p>
    <w:p w14:paraId="3981A2EA">
      <w:pPr>
        <w:spacing w:before="0" w:after="80"/>
        <w:jc w:val="center"/>
      </w:pPr>
      <w:r>
        <w:rPr>
          <w:rFonts w:ascii="Arial" w:hAnsi="Arial" w:eastAsia="Arial" w:cs="Arial"/>
          <w:color w:val="1E3A5F"/>
          <w:sz w:val="30"/>
          <w:szCs w:val="30"/>
        </w:rPr>
        <w:t>整体架构设计方案（完整版）</w:t>
      </w:r>
    </w:p>
    <w:p w14:paraId="17D394B0">
      <w:pPr>
        <w:pBdr>
          <w:bottom w:val="single" w:color="E8622A" w:sz="6" w:space="4"/>
        </w:pBdr>
        <w:spacing w:before="0" w:after="6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前台执行  ·  中台智能  ·  后台商业</w:t>
      </w:r>
    </w:p>
    <w:p w14:paraId="4DBFA289"/>
    <w:p w14:paraId="060C5EC5"/>
    <w:p w14:paraId="2A0A19B8">
      <w:r>
        <w:br w:type="page"/>
      </w:r>
    </w:p>
    <w:p w14:paraId="4C4F4797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一、核心设计理念</w:t>
      </w:r>
    </w:p>
    <w:p w14:paraId="143298F2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本方案构建的AI Agent协同体系，采用前台·中台·后台三域架构：前台服务助理Agent直接面向患者执行健康服务；中台由疾病规划Agent、知识库体系、运营智能分析Agent构成，承担知识供给、方案生成与数据洞察；后台商业化Agent面向院方和商业落地。三域之间通过数据流和任务流紧密联动，形成持续进化的智能服务生态。</w:t>
      </w:r>
    </w:p>
    <w:p w14:paraId="08BDA064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"/>
        <w:gridCol w:w="9120"/>
      </w:tblGrid>
      <w:tr w14:paraId="5BF09C92"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DB55ED4"/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E8EE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1C83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核心哲学：AI负责执行，人负责判断，人机协作产生记忆，记忆驱动Agent持续进化。这不是一个替代人工的系统，而是让人工的价值不断向上迁移——从执行者变成审核者，从审核者变成策略制定者。</w:t>
            </w:r>
          </w:p>
        </w:tc>
      </w:tr>
    </w:tbl>
    <w:p w14:paraId="40F26A73">
      <w:pPr>
        <w:spacing w:before="0" w:after="160"/>
      </w:pPr>
    </w:p>
    <w:p w14:paraId="7B1EAD0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1.1 三域六层能力分工</w:t>
      </w:r>
    </w:p>
    <w:tbl>
      <w:tblPr>
        <w:tblStyle w:val="11"/>
        <w:tblW w:w="8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2160"/>
        <w:gridCol w:w="2880"/>
        <w:gridCol w:w="1693"/>
      </w:tblGrid>
      <w:tr w14:paraId="012916FD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DBC80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B3313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执行者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01DC1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职责定义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95B98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人工参与度</w:t>
            </w:r>
          </w:p>
        </w:tc>
      </w:tr>
      <w:tr w14:paraId="2A3DFC9D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D0168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L1 全自动执行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5908C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服务助理Agent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D2FBA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标准随访、提醒、监测、推送、问答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6623C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0% — 全自动</w:t>
            </w:r>
          </w:p>
        </w:tc>
      </w:tr>
      <w:tr w14:paraId="66550E09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6C54C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L2 辅助决策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11768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 + 人工协作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7A62F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AI生成建议，人工审核确认后执行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964FF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20-30% — 审核确认</w:t>
            </w:r>
          </w:p>
        </w:tc>
      </w:tr>
      <w:tr w14:paraId="25F51671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BD236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L3 人工主导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0108B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人工 + AI辅助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8ABAA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复杂医学判断、危机干预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EBE42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80-100% — 主导决策</w:t>
            </w:r>
          </w:p>
        </w:tc>
      </w:tr>
      <w:tr w14:paraId="3A36E95C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DF09A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知识供给</w:t>
            </w:r>
            <w:bookmarkStart w:id="0" w:name="_GoBack"/>
            <w:bookmarkEnd w:id="0"/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C6A5B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知识库体系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4ECB9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持续构建、更新、治理全平台知识资产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B4613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医学顾问定期审核</w:t>
            </w:r>
          </w:p>
        </w:tc>
      </w:tr>
      <w:tr w14:paraId="4450573A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176DF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方案规划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81254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疾病规划Agent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407A4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检索证据、生成病种方案、沉淀Disease Skill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F762B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医生必须审核确认</w:t>
            </w:r>
          </w:p>
        </w:tc>
      </w:tr>
      <w:tr w14:paraId="58F7ABCA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387C5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运营洞察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AEBE9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运营分析Agent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9F57D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群体数据分析、效果评估、优化建议生成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4B79E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管理层定期决策</w:t>
            </w:r>
          </w:p>
        </w:tc>
      </w:tr>
      <w:tr w14:paraId="43BF7997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A52D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商业化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6862F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商业化Agent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51A5D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服务包、团队配置、绩效方案生成</w:t>
            </w:r>
          </w:p>
        </w:tc>
        <w:tc>
          <w:tcPr>
            <w:tcW w:w="1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1E47F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运营+法务审核</w:t>
            </w:r>
          </w:p>
        </w:tc>
      </w:tr>
    </w:tbl>
    <w:p w14:paraId="10619412">
      <w:pPr>
        <w:spacing w:before="0" w:after="160"/>
      </w:pPr>
    </w:p>
    <w:p w14:paraId="04A90A01">
      <w:r>
        <w:br w:type="page"/>
      </w:r>
    </w:p>
    <w:p w14:paraId="7CB1F713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二、整体架构总览</w:t>
      </w:r>
    </w:p>
    <w:p w14:paraId="536EA4D8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整个体系由七类Agent和一套知识库基础设施构成。各类Agent不是孤立运行的，它们通过统一的数据总线交换信息，通过任务队列协作执行，通过学习层持续优化。</w:t>
      </w:r>
    </w:p>
    <w:p w14:paraId="232D12C3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171CA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9BB2AB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服务助理 Agent （7类）</w:t>
            </w:r>
          </w:p>
          <w:p w14:paraId="6CDF8051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营养饮食·随访管理·症状监测·康复运动·用药管理·心理支持·患教内容 — 直接面向患者，执行所有L1-L3健康服务任务；设计模式下参与病种方案模块构建</w:t>
            </w:r>
          </w:p>
        </w:tc>
      </w:tr>
      <w:tr w14:paraId="0C52D5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64D232C">
            <w:r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</w:rPr>
              <w:t>数据总线：患者健康数据、执行记录、人工干预标注 实时上行至中台</w:t>
            </w:r>
          </w:p>
          <w:p w14:paraId="5421D6A3"/>
        </w:tc>
      </w:tr>
      <w:tr w14:paraId="2D938F9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0626117"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疾病规划 Agent</w:t>
            </w:r>
          </w:p>
          <w:p w14:paraId="454F6B98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调度服务Agent设计各领域模块，由文献检索子Agent提供循证证据支撑，汇总生成Disease Skill，经医生多轮审核后上线</w:t>
            </w:r>
          </w:p>
        </w:tc>
      </w:tr>
      <w:tr w14:paraId="5EF28FC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6B0748B"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知识库体系（平台级基础设施）</w:t>
            </w:r>
          </w:p>
          <w:p w14:paraId="4BFB8491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四层架构：知识来源层（指南/共识/文献/内部沉淀）→ 知识处理层（解析/结构化/向量化）→ 知识维护层（更新监测/缺口识别/错误修正）→ 知识服务层（RAG检索/引用溯源/置信度）</w:t>
            </w:r>
          </w:p>
        </w:tc>
      </w:tr>
      <w:tr w14:paraId="564519A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D7D202">
            <w:r>
              <w:rPr>
                <w:rFonts w:ascii="Arial" w:hAnsi="Arial" w:eastAsia="Arial" w:cs="Arial"/>
                <w:b/>
                <w:bCs/>
                <w:color w:val="F57F17"/>
                <w:sz w:val="20"/>
                <w:szCs w:val="20"/>
              </w:rPr>
              <w:t>运营智能分析 Agent</w:t>
            </w:r>
          </w:p>
          <w:p w14:paraId="2251CCD1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群体层面数据分析、团队效能看板、干预效果评估、成本投入产出分析；输出优化建议给疾病规划Agent和商业化Agent</w:t>
            </w:r>
          </w:p>
        </w:tc>
      </w:tr>
      <w:tr w14:paraId="0E91826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7643C8">
            <w:r>
              <w:rPr>
                <w:rFonts w:ascii="Arial" w:hAnsi="Arial" w:eastAsia="Arial" w:cs="Arial"/>
                <w:b w:val="0"/>
                <w:bCs w:val="0"/>
                <w:color w:val="555555"/>
                <w:sz w:val="17"/>
                <w:szCs w:val="17"/>
              </w:rPr>
              <w:t>Skill输出 + 运营数据 下行至后台商业化Agent</w:t>
            </w:r>
          </w:p>
          <w:p w14:paraId="29111CD6"/>
        </w:tc>
      </w:tr>
      <w:tr w14:paraId="51CD3BD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84FF134">
            <w:r>
              <w:rPr>
                <w:rFonts w:ascii="Arial" w:hAnsi="Arial" w:eastAsia="Arial" w:cs="Arial"/>
                <w:b/>
                <w:bCs/>
                <w:color w:val="6A0572"/>
                <w:sz w:val="20"/>
                <w:szCs w:val="20"/>
              </w:rPr>
              <w:t>商业化 Agent（3个子Agent）</w:t>
            </w:r>
          </w:p>
          <w:p w14:paraId="1F28C797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服务包方案Agent · 服务团队规划Agent · 院方绩效规划Agent — 读取Disease Skill与运营数据，生成商业落地方案</w:t>
            </w:r>
          </w:p>
        </w:tc>
      </w:tr>
      <w:tr w14:paraId="5FC20B1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7747D1E"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 xml:space="preserve">底座  </w:t>
            </w:r>
            <w:r>
              <w:rPr>
                <w:rFonts w:ascii="Arial" w:hAnsi="Arial" w:eastAsia="Arial" w:cs="Arial"/>
                <w:b/>
                <w:bCs/>
                <w:color w:val="E8622A"/>
                <w:sz w:val="20"/>
                <w:szCs w:val="20"/>
              </w:rPr>
              <w:t>记忆与学习层（贯穿全体系）</w:t>
            </w:r>
          </w:p>
          <w:p w14:paraId="051E271C">
            <w:pPr>
              <w:spacing w:before="36" w:after="0"/>
              <w:ind w:left="0"/>
            </w:pPr>
            <w:r>
              <w:rPr>
                <w:rFonts w:ascii="Arial" w:hAnsi="Arial" w:eastAsia="Arial" w:cs="Arial"/>
                <w:color w:val="555555"/>
                <w:sz w:val="17"/>
                <w:szCs w:val="17"/>
              </w:rPr>
              <w:t>结构化人工反馈 → 三层记忆存储（短期/中期/长期）→ 月度优化循环 → 灰度测试 → 全量部署 — 驱动所有Agent持续进化</w:t>
            </w:r>
          </w:p>
        </w:tc>
      </w:tr>
    </w:tbl>
    <w:p w14:paraId="3321DC4E">
      <w:pPr>
        <w:spacing w:before="0" w:after="160"/>
      </w:pPr>
    </w:p>
    <w:p w14:paraId="4AA0C128">
      <w:r>
        <w:br w:type="page"/>
      </w:r>
    </w:p>
    <w:p w14:paraId="599BEA3B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三、前台：服务助理 Agent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6AB37B70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B319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前台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5021E4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服务助理 Agent 群</w:t>
            </w:r>
          </w:p>
          <w:p w14:paraId="0A13E220">
            <w:pPr>
              <w:spacing w:before="40" w:after="0"/>
            </w:pPr>
            <w:r>
              <w:rPr>
                <w:rFonts w:ascii="Arial" w:hAnsi="Arial" w:eastAsia="Arial" w:cs="Arial"/>
                <w:color w:val="DDDDDD"/>
                <w:sz w:val="18"/>
                <w:szCs w:val="18"/>
              </w:rPr>
              <w:t>专业执行 · 双模工作（执行模式 + 设计模式）</w:t>
            </w:r>
          </w:p>
        </w:tc>
      </w:tr>
    </w:tbl>
    <w:p w14:paraId="0047F70E">
      <w:pPr>
        <w:spacing w:before="0" w:after="80"/>
      </w:pPr>
    </w:p>
    <w:p w14:paraId="30AECB6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每个服务助理Agent身兼两职：在执行模式下，它是直接面向患者的服务执行者；在设计模式下，当疾病规划Agent发起新病种方案构建时，它作为本领域的专家，参与设计对应模块的初稿。"你最懂自己负责的那个领域"——这让设计和执行之间没有知识损耗。</w:t>
      </w:r>
    </w:p>
    <w:p w14:paraId="5636EE7F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2880"/>
        <w:gridCol w:w="2520"/>
        <w:gridCol w:w="1800"/>
      </w:tblGrid>
      <w:tr w14:paraId="3862715E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BA4E4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ECA47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执行模式（日常）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FCF31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设计模式（参与规划）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CDA35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触发升级条件</w:t>
            </w:r>
          </w:p>
        </w:tc>
      </w:tr>
      <w:tr w14:paraId="0E4FEA9A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EF928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营养饮食助理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FC6EF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饮食日记解析·个性化食谱推送·NRS评分监测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2838E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设计营养管理路径节点·生成饮食方案模板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E5F6D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NRS≥3分触发营养师介入</w:t>
            </w:r>
          </w:p>
        </w:tc>
      </w:tr>
      <w:tr w14:paraId="0FF27811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FEB04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随访管理助理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9A5EB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按节点自动发起随访·解析回复·生成摘要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9B7EF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设计随访频率节点·生成问卷模板·话术脚本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5CD7A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3次失联或异常回复触发管理师</w:t>
            </w:r>
          </w:p>
        </w:tc>
      </w:tr>
      <w:tr w14:paraId="3F334403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5F7E5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症状监测助理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84A43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实时采集体重/症状/用药·触发预警路由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FE1B6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设计监测指标体系·预警规则与阈值配置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AE84B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指标超阈值自动分级路由L2/L3</w:t>
            </w:r>
          </w:p>
        </w:tc>
      </w:tr>
      <w:tr w14:paraId="1F77D6A3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9A80D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康复运动助理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9660A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推送运动计划·监测执行率·评估耐受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33E6B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设计康复路径节点·运动计划模板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286C6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运动耐受异常触发康复教练介入</w:t>
            </w:r>
          </w:p>
        </w:tc>
      </w:tr>
      <w:tr w14:paraId="6BD54633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1A478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用药管理助理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96DEC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发送用药提醒·记录服药·识别漏服模式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079EF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设计用药提醒规则·依从性问卷配置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F6E95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不良反应描述触发医生升级</w:t>
            </w:r>
          </w:p>
        </w:tc>
      </w:tr>
      <w:tr w14:paraId="6486BC44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B765D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心理支持助理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F399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NLP情绪信号分析·推送正念内容·PHQ-9监测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94166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设计情绪监测节点·心理量表配置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424AA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PHQ-9≥10或危机词汇触发咨询师</w:t>
            </w:r>
          </w:p>
        </w:tc>
      </w:tr>
      <w:tr w14:paraId="45EE8965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5158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患教内容助理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8222E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按路径节点推送科普内容·跟踪阅读完成率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E3910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设计患教内容计划·分发时间表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E7C30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内容完成率持续低触发管理师关注</w:t>
            </w:r>
          </w:p>
        </w:tc>
      </w:tr>
    </w:tbl>
    <w:p w14:paraId="41F1B322">
      <w:pPr>
        <w:spacing w:before="0" w:after="160"/>
      </w:pPr>
    </w:p>
    <w:p w14:paraId="6D6DFACD">
      <w:r>
        <w:br w:type="page"/>
      </w:r>
    </w:p>
    <w:p w14:paraId="69E6FED2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四、中台：疾病规划 Agent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2F1AEC8C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DB47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中台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63FBC1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疾病规划 Agent</w:t>
            </w:r>
          </w:p>
          <w:p w14:paraId="4C6E90D8">
            <w:pPr>
              <w:spacing w:before="40" w:after="0"/>
            </w:pPr>
            <w:r>
              <w:rPr>
                <w:rFonts w:ascii="Arial" w:hAnsi="Arial" w:eastAsia="Arial" w:cs="Arial"/>
                <w:color w:val="DDDDDD"/>
                <w:sz w:val="18"/>
                <w:szCs w:val="18"/>
              </w:rPr>
              <w:t>循证驱动 · 多Agent编排 · Disease Skill生成</w:t>
            </w:r>
          </w:p>
        </w:tc>
      </w:tr>
    </w:tbl>
    <w:p w14:paraId="36DF213F">
      <w:pPr>
        <w:spacing w:before="0" w:after="80"/>
      </w:pPr>
    </w:p>
    <w:p w14:paraId="14B3CE9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疾病规划Agent是整个体系的核心编排者。它不直接生成所有内容，而是协调文献检索子Agent提供证据支撑，调度各服务助理Agent设计各自领域模块，最终汇总形成经医生反复审核的Disease Skill。</w:t>
      </w:r>
    </w:p>
    <w:p w14:paraId="655DE1BB">
      <w:pPr>
        <w:spacing w:before="0" w:after="80"/>
      </w:pPr>
    </w:p>
    <w:p w14:paraId="69EFA63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4.1 文献检索子Agent（核心新增）</w:t>
      </w:r>
    </w:p>
    <w:p w14:paraId="128896E7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文献检索子Agent是疾病规划Agent内部的专职"证据官"。每次生成新病种方案时，它并行完成三项检索工作，为方案每个节点提供循证依据，让医生审核时有据可查而非面对黑盒推荐。</w:t>
      </w:r>
    </w:p>
    <w:p w14:paraId="1D08F0D1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7680"/>
      </w:tblGrid>
      <w:tr w14:paraId="4F7856A3"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A0910"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文献检索子Agent — 三项并行检索</w:t>
            </w:r>
          </w:p>
        </w:tc>
      </w:tr>
      <w:tr w14:paraId="40B25C27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8C3A2"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>检索权威指南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B2EF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自动识别病种对应的主流指南体系（CSCO·NCCN·WHO·各学会指南）</w:t>
            </w:r>
          </w:p>
          <w:p w14:paraId="17933246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拉取最新版本，定位与该病种相关的核心章节</w:t>
            </w:r>
          </w:p>
          <w:p w14:paraId="2C3664E1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提取结构化内容：分期标准·治疗推荐·随访节点·预警指标</w:t>
            </w:r>
          </w:p>
          <w:p w14:paraId="028DD8CE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自动检测是否有更新版本，标注版本号和发布日期</w:t>
            </w:r>
          </w:p>
        </w:tc>
      </w:tr>
      <w:tr w14:paraId="41C23687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BFA78"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>检索共识与文献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752A2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在CNKI、PubMed检索该病种中国专家共识文件</w:t>
            </w:r>
          </w:p>
          <w:p w14:paraId="6C2E2A81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检索高质量临床研究（RCT·meta分析·队列研究）</w:t>
            </w:r>
          </w:p>
          <w:p w14:paraId="04E8BE1B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重点关注：管理路径·患者教育·预警指标·生存质量相关证据</w:t>
            </w:r>
          </w:p>
          <w:p w14:paraId="5EF7BBFA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过滤近5年文献，优先纳入大样本、高影响因子研究</w:t>
            </w:r>
          </w:p>
        </w:tc>
      </w:tr>
      <w:tr w14:paraId="0A66D8C9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BE972"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>证据分级与标注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E7955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对每条证据按等级标注：RCT &gt; meta分析 &gt; 专家共识 &gt; 病例研究 &gt; 专家意见</w:t>
            </w:r>
          </w:p>
          <w:p w14:paraId="65F3F3D4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方案初稿每个配置项附带"依据来源 + 页码/条款 + 证据级别"</w:t>
            </w:r>
          </w:p>
          <w:p w14:paraId="7E774BBE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标注置信度（高/中/低）：高→直接推荐；中→推荐但说明争议；低→仅作参考并提示医生重点审核</w:t>
            </w:r>
          </w:p>
          <w:p w14:paraId="4811A130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当两个指南对同一问题有不同建议时，自动标注"存在证据冲突，建议医生裁定"</w:t>
            </w:r>
          </w:p>
        </w:tc>
      </w:tr>
      <w:tr w14:paraId="7EAEF4CD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2C30E">
            <w:r>
              <w:rPr>
                <w:rFonts w:ascii="Arial" w:hAnsi="Arial" w:eastAsia="Arial" w:cs="Arial"/>
                <w:b/>
                <w:bCs/>
                <w:color w:val="1565C0"/>
                <w:sz w:val="19"/>
                <w:szCs w:val="19"/>
              </w:rPr>
              <w:t>人工介入点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A5FFE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医生审核时，每项配置旁可展开查看完整引用原文</w:t>
            </w:r>
          </w:p>
          <w:p w14:paraId="448162C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证据冲突项必须由医生手动裁定，不允许AI自动选择</w:t>
            </w:r>
          </w:p>
          <w:p w14:paraId="509C79A6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医生选定的裁定结果写入病种知识库，形成荣科的专属立场</w:t>
            </w:r>
          </w:p>
        </w:tc>
      </w:tr>
    </w:tbl>
    <w:p w14:paraId="342FA285">
      <w:pPr>
        <w:spacing w:before="0" w:after="80"/>
      </w:pPr>
    </w:p>
    <w:p w14:paraId="35C455D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4.2 病种方案生成流程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560"/>
        <w:gridCol w:w="2400"/>
        <w:gridCol w:w="1800"/>
      </w:tblGrid>
      <w:tr w14:paraId="022CE797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F38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931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执行内容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D5D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CA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人工介入</w:t>
            </w:r>
          </w:p>
        </w:tc>
      </w:tr>
      <w:tr w14:paraId="0ADB456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AA2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01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9953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需求输入：病种名称·目标患者群·核心关注维度·参考指南版本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2CAD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运营/产品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07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必须（启动审批）</w:t>
            </w:r>
          </w:p>
        </w:tc>
      </w:tr>
      <w:tr w14:paraId="5FBB367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205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02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FB12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文献检索子Agent并行检索：权威指南·专家共识·临床文献（约15-30分钟）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E630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6D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4E433FA1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F5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03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6C42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各服务助理Agent基于检索结果，并行设计本领域模块初稿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6D70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AI自动（并行）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91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1C999D64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563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7B01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疾病规划Agent汇总所有模块，检测时间节点冲突和逻辑矛盾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4C4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6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6DEEE71B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D1B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05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9F72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生成完整方案初稿：每项配置附带引用来源+证据级别+置信度标注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C5EF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C4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56F1615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2B8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06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04AD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推送医生审核界面：高亮证据冲突项和低置信度项，支持语音输入意见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6081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系统推送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71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729C05F3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2EF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07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59FD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医生逐模块审核：确认/修改/拒绝，证据冲突项必须手动裁定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62CA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医生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2B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  <w:tr w14:paraId="5D1F8EB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FAB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08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BF98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AI根据医生意见自动修正，生成差异对比报告（改了什么/为什么改）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14EA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0F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4C7C87E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A18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09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5A6E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医生二次确认（支持多轮，通常2-3轮收敛）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5BAB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医生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08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  <w:tr w14:paraId="1525519B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3FA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382B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医生意见和AI修正过程写入记忆层，形成学习数据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70FA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系统自动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04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16CA0B47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2A9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0550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生成Disease Skill，分配版本号，激活上线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81D0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系统+运营确认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9E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</w:tbl>
    <w:p w14:paraId="7012B701">
      <w:pPr>
        <w:spacing w:before="0" w:after="160"/>
      </w:pPr>
    </w:p>
    <w:p w14:paraId="58676B1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4.3 Disease Skill 结构与版本管理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78A3C4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270A8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Skill组件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87498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6EAB3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生成方式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DAC4A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证据来源</w:t>
            </w:r>
          </w:p>
        </w:tc>
      </w:tr>
      <w:tr w14:paraId="6AA65B2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45305E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病种基础信息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1EB2D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定义·目标人群·主要风险·ICD编码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DC0DE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AI提取+医生确认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A81D6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权威指南</w:t>
            </w:r>
          </w:p>
        </w:tc>
      </w:tr>
      <w:tr w14:paraId="4C109D33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A2D2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患者分型定义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AEA63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分型标准·各型特征·判断规则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B39A5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症状监测Agent+医生确认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A367C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临床共识</w:t>
            </w:r>
          </w:p>
        </w:tc>
      </w:tr>
      <w:tr w14:paraId="3D5CC6C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AC8C0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管理路径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99207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时间轴节点·干预动作·路径分支逻辑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756D5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各服务Agent协作+医生审核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C62E9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指南+文献</w:t>
            </w:r>
          </w:p>
        </w:tc>
      </w:tr>
      <w:tr w14:paraId="5B115371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4757A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预警规则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DE221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监测指标·阈值设置·升级逻辑·处置SOP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29199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症状监测Agent+医生确认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3084C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RCT证据优先</w:t>
            </w:r>
          </w:p>
        </w:tc>
      </w:tr>
      <w:tr w14:paraId="203505C5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953E3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评估量表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B5B69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适用量表·评分规则·结果解读·触发动作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34F52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各Agent推荐+医生选定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29FF2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量表标准文献</w:t>
            </w:r>
          </w:p>
        </w:tc>
      </w:tr>
      <w:tr w14:paraId="7C3B208D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27578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随访问卷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63B13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各阶段问卷·题型·评分逻辑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6555E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随访Agent+运营确认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C0A69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内部效果数据</w:t>
            </w:r>
          </w:p>
        </w:tc>
      </w:tr>
      <w:tr w14:paraId="4E2F638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49E80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患教内容方案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C4C72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内容清单·推送时间表·形式规格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E8F8D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患教Agent+运营确认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E8129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内容阅读率数据</w:t>
            </w:r>
          </w:p>
        </w:tc>
      </w:tr>
      <w:tr w14:paraId="237482BF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F6332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提醒模板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1AF16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各场景话术·渠道配置·发送规则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9521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各服务Agent+运营确认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D520F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响应率数据</w:t>
            </w:r>
          </w:p>
        </w:tc>
      </w:tr>
      <w:tr w14:paraId="29296AD7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26B95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话术脚本库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C8112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AI随访话术·标准问答·升级话术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E1816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随访Agent+知识库+医生审核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0DDCF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问答准确率数据</w:t>
            </w:r>
          </w:p>
        </w:tc>
      </w:tr>
    </w:tbl>
    <w:p w14:paraId="1ED54D0D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"/>
        <w:gridCol w:w="9120"/>
      </w:tblGrid>
      <w:tr w14:paraId="0DA4418D"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B52C233"/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3CF6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版本管理：每次Skill更新产生新版本号，记录"谁改的·改了什么·为什么改·改后效果"。进行中的患者保持原版本，新患者自动使用最新版本。版本历史是荣科最核心的知识积累档案。</w:t>
            </w:r>
          </w:p>
        </w:tc>
      </w:tr>
    </w:tbl>
    <w:p w14:paraId="09247E38">
      <w:pPr>
        <w:spacing w:before="0" w:after="160"/>
      </w:pPr>
    </w:p>
    <w:p w14:paraId="2DCAB504">
      <w:r>
        <w:br w:type="page"/>
      </w:r>
    </w:p>
    <w:p w14:paraId="0018DB4D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五、中台：知识库体系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1D17AC8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452A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中台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1EE39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知识库体系（平台级基础设施）</w:t>
            </w:r>
          </w:p>
          <w:p w14:paraId="5E892958">
            <w:pPr>
              <w:spacing w:before="40" w:after="0"/>
            </w:pPr>
            <w:r>
              <w:rPr>
                <w:rFonts w:ascii="Arial" w:hAnsi="Arial" w:eastAsia="Arial" w:cs="Arial"/>
                <w:color w:val="DDDDDD"/>
                <w:sz w:val="18"/>
                <w:szCs w:val="18"/>
              </w:rPr>
              <w:t>知识来源·处理·维护·服务 四层架构</w:t>
            </w:r>
          </w:p>
        </w:tc>
      </w:tr>
    </w:tbl>
    <w:p w14:paraId="67EBF27A">
      <w:pPr>
        <w:spacing w:before="0" w:after="80"/>
      </w:pPr>
    </w:p>
    <w:p w14:paraId="051081B2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知识库体系不是某个Agent的功能，而是整个平台正常运转的前提条件。所有Agent的知识查询都通过统一接口访问知识库，接口返回时必须附带来源溯源和置信度，确保"Agent知道自己从哪里知道的"。</w:t>
      </w:r>
    </w:p>
    <w:p w14:paraId="25934759">
      <w:pPr>
        <w:spacing w:before="0" w:after="80"/>
      </w:pPr>
    </w:p>
    <w:p w14:paraId="2DAE1E4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5.1 知识来源层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3240"/>
        <w:gridCol w:w="1440"/>
        <w:gridCol w:w="2520"/>
      </w:tblGrid>
      <w:tr w14:paraId="11BB9DBD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AEF5A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来源类型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39367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具体内容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97503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B1D51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接入方式</w:t>
            </w:r>
          </w:p>
        </w:tc>
      </w:tr>
      <w:tr w14:paraId="646914AF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3A02F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临床指南库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A8997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CSCO·NCCN·WHO·各学会指南（PDF格式）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5019F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最高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954D1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PDF解析+结构化提取，版本追踪</w:t>
            </w:r>
          </w:p>
        </w:tc>
      </w:tr>
      <w:tr w14:paraId="73817B32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7AECD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专家共识库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73B2A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中华医学会·各专科学会共识文件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96C81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高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4A34D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PDF解析+人工审核确认</w:t>
            </w:r>
          </w:p>
        </w:tc>
      </w:tr>
      <w:tr w14:paraId="07DD900F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7BCFB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学术文献库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D9511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CNKI·PubMed（近5年高质量研究）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C76AB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中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01C12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API对接+自动摘要提取</w:t>
            </w:r>
          </w:p>
        </w:tc>
      </w:tr>
      <w:tr w14:paraId="18AC6B01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C081D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内部沉淀库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93440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医生审核过的Q&amp;A·病种配置历史·干预效果记录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708AD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最高（经验证）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2B519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结构化录入，实时更新</w:t>
            </w:r>
          </w:p>
        </w:tc>
      </w:tr>
      <w:tr w14:paraId="603EA011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134914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外部参考库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679A8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教科书·权威综述·海外指南（辅助参考）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6F486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低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319D6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按需手动导入</w:t>
            </w:r>
          </w:p>
        </w:tc>
      </w:tr>
    </w:tbl>
    <w:p w14:paraId="3364AE54">
      <w:pPr>
        <w:spacing w:before="0" w:after="160"/>
      </w:pPr>
    </w:p>
    <w:p w14:paraId="0FC022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5.2 知识处理层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7680"/>
      </w:tblGrid>
      <w:tr w14:paraId="30D63CE0"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41AC4"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知识处理流水线</w:t>
            </w:r>
          </w:p>
        </w:tc>
      </w:tr>
      <w:tr w14:paraId="2D91A5B0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600BC"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文档解析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9BB02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OCR识别扫描版PDF，LLM解析原生PDF，准确率&gt;95%</w:t>
            </w:r>
          </w:p>
          <w:p w14:paraId="4E6D042F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自动识别文档结构：章节·条款·表格·图注</w:t>
            </w:r>
          </w:p>
          <w:p w14:paraId="26E126F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多语言支持：中英文文献统一处理</w:t>
            </w:r>
          </w:p>
        </w:tc>
      </w:tr>
      <w:tr w14:paraId="597E58F3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4F623"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知识结构化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0E096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实体识别：药品名·手术方式·时间节点·症状名·检验项目</w:t>
            </w:r>
          </w:p>
          <w:p w14:paraId="3ED044F5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关系抽取：症状→预警→干预·治疗→随访→复查</w:t>
            </w:r>
          </w:p>
          <w:p w14:paraId="46213D4F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构建知识节点，形成可语义检索的向量数据库</w:t>
            </w:r>
          </w:p>
          <w:p w14:paraId="3223CE9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知识图谱：将各节点的关联关系可视化，用于冲突检测</w:t>
            </w:r>
          </w:p>
        </w:tc>
      </w:tr>
      <w:tr w14:paraId="4C532E5B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F823B"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去重与冲突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37492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自动检测重复知识，合并保留最高证据级别版本</w:t>
            </w:r>
          </w:p>
          <w:p w14:paraId="15953D0B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当两个来源对同一问题有矛盾时，标注冲突，推送医学顾问裁定</w:t>
            </w:r>
          </w:p>
          <w:p w14:paraId="41F0E21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裁定结果记录为荣科专属立场，优先级高于外部原始文献</w:t>
            </w:r>
          </w:p>
        </w:tc>
      </w:tr>
      <w:tr w14:paraId="57548A9B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559FC">
            <w:r>
              <w:rPr>
                <w:rFonts w:ascii="Arial" w:hAnsi="Arial" w:eastAsia="Arial" w:cs="Arial"/>
                <w:b/>
                <w:bCs/>
                <w:color w:val="1A7A4A"/>
                <w:sz w:val="19"/>
                <w:szCs w:val="19"/>
              </w:rPr>
              <w:t>证据分级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34A9D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每条知识节点标注证据等级：I级（RCT）至V级（专家意见）</w:t>
            </w:r>
          </w:p>
          <w:p w14:paraId="7007FF4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向量化时将证据等级编码为权重，高等级证据在检索结果中优先排序</w:t>
            </w:r>
          </w:p>
        </w:tc>
      </w:tr>
    </w:tbl>
    <w:p w14:paraId="16564828">
      <w:pPr>
        <w:spacing w:before="0" w:after="80"/>
      </w:pPr>
    </w:p>
    <w:p w14:paraId="2D248F5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5.3 知识维护层（持续运行）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0"/>
        <w:gridCol w:w="2160"/>
        <w:gridCol w:w="2520"/>
        <w:gridCol w:w="2160"/>
      </w:tblGrid>
      <w:tr w14:paraId="2F8B0A1D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F143F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维护机制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EFAF8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触发条件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D776A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执行方式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7CDBA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人工介入</w:t>
            </w:r>
          </w:p>
        </w:tc>
      </w:tr>
      <w:tr w14:paraId="7720FB39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DCD16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指南更新监测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DBB79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各学会发布新版指南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81AC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系统自动检测版本差异，推送"知识更新提醒"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D8266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医学顾问审核差异，决定是否更新对应Skill</w:t>
            </w:r>
          </w:p>
        </w:tc>
      </w:tr>
      <w:tr w14:paraId="1269DA87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B52B5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知识缺口识别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35ED4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Agent回答置信度低于阈值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75699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记录所有低置信度问题，每月生成"知识盲区清单"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10FB3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运营推动补充，医生提供标准答案</w:t>
            </w:r>
          </w:p>
        </w:tc>
      </w:tr>
      <w:tr w14:paraId="3238E984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11EA3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错误反馈修正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FD48D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医生/患者标记回答有误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D4240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错误答案自动降权，修正版进入待审核队列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5B5D6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医生审核修正版后，正式更新入库</w:t>
            </w:r>
          </w:p>
        </w:tc>
      </w:tr>
      <w:tr w14:paraId="502C20DC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A9B4A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知识过期检测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72B1A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设定知识有效期（指南类3年·文献类5年）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A5E1F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临期知识自动标黄，推送复审通知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A9C1B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医学顾问确认是否仍有效，或替换为新证据</w:t>
            </w:r>
          </w:p>
        </w:tc>
      </w:tr>
      <w:tr w14:paraId="14721BAB"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EEB43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内部经验沉淀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00846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医生给出裁定·新干预方案验证有效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3BCC3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结构化录入内部沉淀库，标注来源为"荣科临床实践"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ACFF9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医学委员会定期归档认可</w:t>
            </w:r>
          </w:p>
        </w:tc>
      </w:tr>
    </w:tbl>
    <w:p w14:paraId="0110C7F5">
      <w:pPr>
        <w:spacing w:before="0" w:after="160"/>
      </w:pPr>
    </w:p>
    <w:p w14:paraId="158E1C7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5.4 知识服务层</w:t>
      </w:r>
    </w:p>
    <w:p w14:paraId="7F5B7967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所有Agent通过统一知识检索接口查询，接口输出时必须返回三个附加信息，这是保障医疗安全的底线要求：</w:t>
      </w:r>
    </w:p>
    <w:p w14:paraId="636C3654">
      <w:pPr>
        <w:spacing w:before="0" w:after="80"/>
      </w:pPr>
    </w:p>
    <w:p w14:paraId="5743EB85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来源文档：具体到指南名称·版本·章节·条款编号</w:t>
      </w:r>
    </w:p>
    <w:p w14:paraId="2E2B4058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证据级别：I-V级标注，让接收Agent知道该结论的可信程度</w:t>
      </w:r>
    </w:p>
    <w:p w14:paraId="45B8F597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置信度：高/中/低，低置信度查询结果自动推送人工复核</w:t>
      </w:r>
    </w:p>
    <w:p w14:paraId="00B48BAA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"/>
        <w:gridCol w:w="9120"/>
      </w:tblGrid>
      <w:tr w14:paraId="4505A6D4"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A7A4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9C21EAF"/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B99E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设计原则：Agent不能只给答案，必须说明"我从哪里知道的"。这一原则贯穿整个知识服务层，是荣科平台区别于普通AI问答的核心安全机制。</w:t>
            </w:r>
          </w:p>
        </w:tc>
      </w:tr>
    </w:tbl>
    <w:p w14:paraId="388B186B">
      <w:pPr>
        <w:spacing w:before="0" w:after="160"/>
      </w:pPr>
    </w:p>
    <w:p w14:paraId="40197015">
      <w:r>
        <w:br w:type="page"/>
      </w:r>
    </w:p>
    <w:p w14:paraId="378BC1AC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六、中台：运营智能分析 Agent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4934F95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57F1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853A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中台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F57F1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3A2A1A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运营智能分析 Agent</w:t>
            </w:r>
          </w:p>
          <w:p w14:paraId="162D6F50">
            <w:pPr>
              <w:spacing w:before="40" w:after="0"/>
            </w:pPr>
            <w:r>
              <w:rPr>
                <w:rFonts w:ascii="Arial" w:hAnsi="Arial" w:eastAsia="Arial" w:cs="Arial"/>
                <w:color w:val="DDDDDD"/>
                <w:sz w:val="18"/>
                <w:szCs w:val="18"/>
              </w:rPr>
              <w:t>群体洞察 · 效能评估 · 驱动优化</w:t>
            </w:r>
          </w:p>
        </w:tc>
      </w:tr>
    </w:tbl>
    <w:p w14:paraId="5DF003EB">
      <w:pPr>
        <w:spacing w:before="0" w:after="80"/>
      </w:pPr>
    </w:p>
    <w:p w14:paraId="28BCA59C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运营智能分析Agent不服务单个患者，它看的是整个患者群体。它是平台的"数据大脑"，将分散的执行数据汇聚成可决策的洞察，驱动疾病规划Agent和商业化Agent的持续优化。</w:t>
      </w:r>
    </w:p>
    <w:p w14:paraId="183DC001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7680"/>
      </w:tblGrid>
      <w:tr w14:paraId="2F73C729"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7F1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08364">
            <w:r>
              <w:rPr>
                <w:rFonts w:ascii="Arial" w:hAnsi="Arial" w:eastAsia="Arial" w:cs="Arial"/>
                <w:b/>
                <w:bCs/>
                <w:color w:val="FFFFFF"/>
                <w:sz w:val="23"/>
                <w:szCs w:val="23"/>
              </w:rPr>
              <w:t>运营智能分析Agent — 四个分析维度</w:t>
            </w:r>
          </w:p>
        </w:tc>
      </w:tr>
      <w:tr w14:paraId="4CFAAF30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E3F22"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>患者群体分析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47D81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队列分析：同一病种不同分型患者的健康指标改善对比</w:t>
            </w:r>
          </w:p>
          <w:p w14:paraId="24339FBD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干预效果分析：哪类随访话术·哪种提醒时机·哪种内容形式，对依从性提升效果最好</w:t>
            </w:r>
          </w:p>
          <w:p w14:paraId="13BF3C3F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风险分层：基于历史数据，识别哪类患者特征与并发症高风险相关</w:t>
            </w:r>
          </w:p>
          <w:p w14:paraId="0FD31D7B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输出：最优干预策略矩阵（患者特征 × 干预方式 × 效果）→ 推送给疾病规划Agent</w:t>
            </w:r>
          </w:p>
        </w:tc>
      </w:tr>
      <w:tr w14:paraId="1DA8B263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343CB"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>团队效能分析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04FEA1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各角色实际工作量vs预测值，识别"超载"和"空转"角色</w:t>
            </w:r>
          </w:p>
          <w:p w14:paraId="1835BAB4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Agent自主处理率趋势（L1占比是否在提升，人工介入是否在减少）</w:t>
            </w:r>
          </w:p>
          <w:p w14:paraId="423E5B17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个案管理师响应时效、随访完成率、预警处置率的个人和团队看板</w:t>
            </w:r>
          </w:p>
          <w:p w14:paraId="09FBE884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输出：人力配置优化建议 → 推送给商业化Agent的服务团队规划子Agent</w:t>
            </w:r>
          </w:p>
        </w:tc>
      </w:tr>
      <w:tr w14:paraId="2E54D359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F3182"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>服务质量分析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E2C1E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预警准确率趋势（真阳性率、误报率、漏报率分病种追踪）</w:t>
            </w:r>
          </w:p>
          <w:p w14:paraId="641A7FB5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患者满意度评分与投诉率分析，定位服务短板</w:t>
            </w:r>
          </w:p>
          <w:p w14:paraId="02FDE6B3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病种间横向对比：哪个病种的管理效果最好，其经验能否迁移</w:t>
            </w:r>
          </w:p>
          <w:p w14:paraId="1A86E436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知识库缺口频率统计：哪类问题最常触发"知识缺口"，指导知识库补充优先级</w:t>
            </w:r>
          </w:p>
        </w:tc>
      </w:tr>
      <w:tr w14:paraId="46946F6E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8778F">
            <w:r>
              <w:rPr>
                <w:rFonts w:ascii="Arial" w:hAnsi="Arial" w:eastAsia="Arial" w:cs="Arial"/>
                <w:b/>
                <w:bCs/>
                <w:color w:val="F57F17"/>
                <w:sz w:val="19"/>
                <w:szCs w:val="19"/>
              </w:rPr>
              <w:t>成本效益分析</w:t>
            </w:r>
          </w:p>
        </w:tc>
        <w:tc>
          <w:tcPr>
            <w:tcW w:w="7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EE755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各服务项人力成本·Agent运行成本·单患者综合成本测算</w:t>
            </w:r>
          </w:p>
          <w:p w14:paraId="391AA30B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服务包ROI分析：哪个包的成本最优、患者续费率最高</w:t>
            </w:r>
          </w:p>
          <w:p w14:paraId="0F95A0AA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院方绩效达成率与荣科服务投入的相关性分析</w:t>
            </w:r>
          </w:p>
          <w:p w14:paraId="205810CC">
            <w:pPr>
              <w:spacing w:before="40" w:after="40"/>
              <w:ind w:left="240" w:hanging="200"/>
            </w:pPr>
            <w:r>
              <w:rPr>
                <w:rFonts w:ascii="Arial" w:hAnsi="Arial" w:eastAsia="Arial" w:cs="Arial"/>
                <w:color w:val="F57F17"/>
                <w:sz w:val="19"/>
                <w:szCs w:val="19"/>
              </w:rPr>
              <w:t xml:space="preserve">•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输出：季度商业化方案优化建议 → 推送给商业化Agent</w:t>
            </w:r>
          </w:p>
        </w:tc>
      </w:tr>
    </w:tbl>
    <w:p w14:paraId="3118A300">
      <w:pPr>
        <w:spacing w:before="0" w:after="80"/>
      </w:pPr>
    </w:p>
    <w:p w14:paraId="26843E7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6.1 输出与联动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3240"/>
        <w:gridCol w:w="1440"/>
        <w:gridCol w:w="2520"/>
      </w:tblGrid>
      <w:tr w14:paraId="7A90D384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6B2AA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输出对象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72C3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输出内容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1742A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输出频率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59876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驱动的行动</w:t>
            </w:r>
          </w:p>
        </w:tc>
      </w:tr>
      <w:tr w14:paraId="215F51AA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2BD26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疾病规划Agent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933F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最优干预策略矩阵·路径节点效果数据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DE2DD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月度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4DEEA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驱动Disease Skill版本更新</w:t>
            </w:r>
          </w:p>
        </w:tc>
      </w:tr>
      <w:tr w14:paraId="3100D363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4AECE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服务助理Agent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38F0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各Agent策略优化建议（话术·时机·频率）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5963B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月度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FD67E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驱动Agent执行策略更新</w:t>
            </w:r>
          </w:p>
        </w:tc>
      </w:tr>
      <w:tr w14:paraId="18056081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1F997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商业化Agent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7E158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服务利用率·成本结构·院方绩效达成数据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5A411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季度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66807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驱动服务包和绩效方案迭代</w:t>
            </w:r>
          </w:p>
        </w:tc>
      </w:tr>
      <w:tr w14:paraId="001C03F9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D978F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知识库体系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F5D97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知识缺口清单·高频未答问题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7C322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月度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71FE6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驱动知识库补充优先级</w:t>
            </w:r>
          </w:p>
        </w:tc>
      </w:tr>
      <w:tr w14:paraId="3BE7548E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C4EAD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管理层看板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42A8E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月度/季度运营报告（可视化）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31109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定期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23CA1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支撑管理决策和投资人汇报</w:t>
            </w:r>
          </w:p>
        </w:tc>
      </w:tr>
    </w:tbl>
    <w:p w14:paraId="3CA1EC46">
      <w:pPr>
        <w:spacing w:before="0" w:after="160"/>
      </w:pPr>
    </w:p>
    <w:p w14:paraId="52D2F58D">
      <w:r>
        <w:br w:type="page"/>
      </w:r>
    </w:p>
    <w:p w14:paraId="02A828E5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七、后台：商业化 Agent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7920"/>
      </w:tblGrid>
      <w:tr w14:paraId="084AE865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6A0572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A460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后台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shd w:val="clear" w:color="auto" w:fill="6A057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EA4E48"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>商业化 Agent（3个子Agent）</w:t>
            </w:r>
          </w:p>
          <w:p w14:paraId="1757BE8F">
            <w:pPr>
              <w:spacing w:before="40" w:after="0"/>
            </w:pPr>
            <w:r>
              <w:rPr>
                <w:rFonts w:ascii="Arial" w:hAnsi="Arial" w:eastAsia="Arial" w:cs="Arial"/>
                <w:color w:val="DDDDDD"/>
                <w:sz w:val="18"/>
                <w:szCs w:val="18"/>
              </w:rPr>
              <w:t>服务包设计 · 团队规划 · 院方绩效</w:t>
            </w:r>
          </w:p>
        </w:tc>
      </w:tr>
    </w:tbl>
    <w:p w14:paraId="16D6461E">
      <w:pPr>
        <w:spacing w:before="0" w:after="80"/>
      </w:pPr>
    </w:p>
    <w:p w14:paraId="214D8F05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商业化Agent读取两类核心输入：Disease Skill（知道能提供什么服务）和运营分析数据（知道实际成本与效果）。缺少任何一方都会导致方案失真——只有Skill会高估能力，只有运营数据会低估价值。</w:t>
      </w:r>
    </w:p>
    <w:p w14:paraId="418EB4C3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3240"/>
        <w:gridCol w:w="1800"/>
        <w:gridCol w:w="1440"/>
      </w:tblGrid>
      <w:tr w14:paraId="13462222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32201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子Agent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E029F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AI生成内容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68561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关键输入来源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7F4B5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人工审核要点</w:t>
            </w:r>
          </w:p>
        </w:tc>
      </w:tr>
      <w:tr w14:paraId="59B24433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B1F18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服务包方案Agent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24F44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3个差异化服务包（基础/标准/高级）·含服务项·频率·时效·渠道·成本估算·定价建议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048BB0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Disease Skill服务项清单 + 实际运营成本数据 + 市场参考定价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D83F0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产品/运营审核包结构合理性和定价；结合患者真实选择迭代</w:t>
            </w:r>
          </w:p>
        </w:tc>
      </w:tr>
      <w:tr w14:paraId="3E65C0A6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7014F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服务团队规划Agent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8FD08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各角色人数建议·人均管理患者数上限·Agent与人工比例·工作量预测（按100/500/1000人规模）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1E9D9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Disease Skill角色需求 + 服务包服务强度 + 历史工作量数据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083E5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团队负责人审核是否符合现有人力资源；实际承载量偏差&gt;20%触发重新评估</w:t>
            </w:r>
          </w:p>
        </w:tc>
      </w:tr>
      <w:tr w14:paraId="21DBA24D"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9FF59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院方绩效规划Agent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2A455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绩效指标体系·激励分配机制（科室分成·医生加成·团队奖金）·数据看板设计方案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F7ED7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Disease Skill服务内容 + 院方科室现状 + 运营效果数据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F9F00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荣科商务+法务审核分成合规性；医院科室主任确认指标适配性</w:t>
            </w:r>
          </w:p>
        </w:tc>
      </w:tr>
    </w:tbl>
    <w:p w14:paraId="0BD214D3">
      <w:pPr>
        <w:spacing w:before="0" w:after="160"/>
      </w:pPr>
    </w:p>
    <w:p w14:paraId="49769751">
      <w:r>
        <w:br w:type="page"/>
      </w:r>
    </w:p>
    <w:p w14:paraId="13B0B172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八、全链路：新病种上线生命周期</w:t>
      </w:r>
    </w:p>
    <w:p w14:paraId="08C2BB7D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从零到一上线一个新病种，各层Agent如何协同工作：</w:t>
      </w:r>
    </w:p>
    <w:p w14:paraId="7895B6B1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320"/>
        <w:gridCol w:w="2280"/>
        <w:gridCol w:w="2160"/>
      </w:tblGrid>
      <w:tr w14:paraId="1E9E18A2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20C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008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执行内容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C8D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执行者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231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人工介入</w:t>
            </w:r>
          </w:p>
        </w:tc>
      </w:tr>
      <w:tr w14:paraId="29DAFDDE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D37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01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7959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运营提交新病种申请，触发全链路启动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97FF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运营/产品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0B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必须（启动审批）</w:t>
            </w:r>
          </w:p>
        </w:tc>
      </w:tr>
      <w:tr w14:paraId="2823F90B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8C8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02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BF51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文献检索子Agent并行检索指南·共识·文献，生成证据库（约30分钟）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5989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F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471EA89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EB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03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226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各服务助理Agent基于证据库，并行设计本领域模块初稿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5AD9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AI自动（并行）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B0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47D256A9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114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04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81A6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疾病规划Agent汇总，检测冲突，生成带引用标注的完整方案初稿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8DD0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00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277E78E6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DBF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05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7901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知识库体系为新病种建立专属知识分区，导入检索结果并结构化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784E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FD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0836A90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3C3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06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519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方案推送医生审核界面，高亮证据冲突和低置信度项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F5A2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系统推送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72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5548EFF8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30A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07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8660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医生逐模块审核，裁定证据冲突，填写结构化意见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540D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医生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B5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  <w:tr w14:paraId="77D48A30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42A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08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D218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AI修正，生成对比报告；医生确认（支持多轮，通常2-3轮）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F3EA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AI+医生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F4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  <w:tr w14:paraId="15960B08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183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09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E05B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商业化Agent读取已确认Skill，生成服务包·团队·绩效方案初稿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727E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B2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无</w:t>
            </w:r>
          </w:p>
        </w:tc>
      </w:tr>
      <w:tr w14:paraId="397D5E6C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6CB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E6ED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运营/法务审核商业化方案，AI修正确认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6D88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运营+法务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27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18"/>
                <w:szCs w:val="18"/>
              </w:rPr>
              <w:t>必须</w:t>
            </w:r>
          </w:p>
        </w:tc>
      </w:tr>
      <w:tr w14:paraId="67726825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EC3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498C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Disease Skill v1.0激活，服务包上线，团队就位，院方绩效启动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62B5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运营确认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75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必须（发布节点）</w:t>
            </w:r>
          </w:p>
        </w:tc>
      </w:tr>
      <w:tr w14:paraId="28E2A90C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D43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65A4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前100患者数据积累后，运营分析Agent生成首次效果报告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F0D3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AI自动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18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管理层决策是否优化</w:t>
            </w:r>
          </w:p>
        </w:tc>
      </w:tr>
      <w:tr w14:paraId="63CA02AD"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E51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13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F74B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月度优化循环正式启动，各层Agent持续迭代，Skill版本递增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0301">
            <w:pPr>
              <w:jc w:val="center"/>
            </w:pPr>
            <w:r>
              <w:rPr>
                <w:rFonts w:ascii="Arial" w:hAnsi="Arial" w:eastAsia="Arial" w:cs="Arial"/>
                <w:color w:val="1565C0"/>
                <w:sz w:val="18"/>
                <w:szCs w:val="18"/>
              </w:rPr>
              <w:t>AI+人工审核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6D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565C0"/>
                <w:sz w:val="18"/>
                <w:szCs w:val="18"/>
              </w:rPr>
              <w:t>必须（每次更新审核）</w:t>
            </w:r>
          </w:p>
        </w:tc>
      </w:tr>
    </w:tbl>
    <w:p w14:paraId="6C7520AC">
      <w:pPr>
        <w:spacing w:before="0" w:after="160"/>
      </w:pPr>
    </w:p>
    <w:p w14:paraId="73A0DE3E">
      <w:r>
        <w:br w:type="page"/>
      </w:r>
    </w:p>
    <w:p w14:paraId="51D74AED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九、Human-in-the-Loop 与记忆学习机制</w:t>
      </w:r>
    </w:p>
    <w:p w14:paraId="6721B65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人工干预数据是整个学习系统最宝贵的资产。结构化记录是前提——自由文字无法被机器学习，只有结构化标注才能驱动Agent优化。这个习惯要从第一天就建立起来。</w:t>
      </w:r>
    </w:p>
    <w:p w14:paraId="492614B0">
      <w:pPr>
        <w:spacing w:before="0" w:after="80"/>
      </w:pPr>
    </w:p>
    <w:p w14:paraId="65EF4A1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9.1 结构化人工反馈设计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4320"/>
        <w:gridCol w:w="2700"/>
      </w:tblGrid>
      <w:tr w14:paraId="0A13063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209E1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反馈维度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B2946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字段设计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1B1C6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14:paraId="1678F658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BEB0E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介入原因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AAA0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AI预警触发/患者主动求助/管理师主动发现/医生建议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F729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分析哪类触发条件准确率低</w:t>
            </w:r>
          </w:p>
        </w:tc>
      </w:tr>
      <w:tr w14:paraId="3B1B3E9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329FC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AI判断准确性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E6BEB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准确/部分准确/错误（附错误类型选项）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C07B9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直接反馈给预警/分诊Agent和知识库</w:t>
            </w:r>
          </w:p>
        </w:tc>
      </w:tr>
      <w:tr w14:paraId="46803D2E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6157E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干预动作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44F0D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电话沟通/消息跟进/调整方案/转介医生/转介营养师/心理支持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8C720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学习哪种干预在什么情境最有效</w:t>
            </w:r>
          </w:p>
        </w:tc>
      </w:tr>
      <w:tr w14:paraId="6537B0EC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BD80D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干预效果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34320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患者反应积极/中性/消极/无回应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285C8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短期效果标注</w:t>
            </w:r>
          </w:p>
        </w:tc>
      </w:tr>
      <w:tr w14:paraId="079D6164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F5F10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7天后追踪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FB590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指标改善/无变化/恶化（系统自动提醒填写）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A2BBF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长期效果标注，是最高质量学习信号</w:t>
            </w:r>
          </w:p>
        </w:tc>
      </w:tr>
      <w:tr w14:paraId="6C4DCDA6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4F0F1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知识库标注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9E579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患者问题是否已在库中？答案是否准确？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44E29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驱动知识库持续修正和补充</w:t>
            </w:r>
          </w:p>
        </w:tc>
      </w:tr>
    </w:tbl>
    <w:p w14:paraId="7B461789">
      <w:pPr>
        <w:spacing w:before="0" w:after="160"/>
      </w:pPr>
    </w:p>
    <w:p w14:paraId="3E37ECE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9.2 月度优化循环（六步）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3600"/>
        <w:gridCol w:w="1800"/>
        <w:gridCol w:w="1800"/>
      </w:tblGrid>
      <w:tr w14:paraId="1B21ADBC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146CC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A77D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执行内容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9A0F1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执行者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4A892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安全机制</w:t>
            </w:r>
          </w:p>
        </w:tc>
      </w:tr>
      <w:tr w14:paraId="0108F756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DA0B9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1. 数据汇总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3BF59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AI汇总上月所有干预记录：预警准确率·随访完成率·干预效果分布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BA575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FD1B4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</w:tr>
      <w:tr w14:paraId="557DC57D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42969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2. 问题识别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3082A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AI识别表现最差的策略模块（误触发率&gt;30%·响应率低于阈值）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51F9A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AI自动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7834D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</w:tr>
      <w:tr w14:paraId="05C6F4AE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21C4E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3. 优化建议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A27E5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AI生成具体优化方案（调整阈值·更新话术·修改升级规则），附预期效果预测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823F9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AI生成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01452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</w:tr>
      <w:tr w14:paraId="7D385F2E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DE06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4. 人工审核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F4D99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产品负责人+医学顾问审核AI建议，决策：接受/修改/拒绝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88562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人工必须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C8354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拒绝率&gt;50%触发流程复盘</w:t>
            </w:r>
          </w:p>
        </w:tc>
      </w:tr>
      <w:tr w14:paraId="3E86AD35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6A96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5. 灰度测试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B930F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审核通过的策略先在5-10%患者中测试2周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0C2BB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AI执行+人工观察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BCE99B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效果未达标自动回滚</w:t>
            </w:r>
          </w:p>
        </w:tc>
      </w:tr>
      <w:tr w14:paraId="3946EC68"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BF482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6. 全量部署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8E387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灰度效果达标后全量更新；不达标回滚并重新分析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3D470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人工确认后AI执行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9EDD5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双重确认机制</w:t>
            </w:r>
          </w:p>
        </w:tc>
      </w:tr>
    </w:tbl>
    <w:p w14:paraId="137A415F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"/>
        <w:gridCol w:w="9120"/>
      </w:tblGrid>
      <w:tr w14:paraId="374EA509"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DA9CE46"/>
        </w:tc>
        <w:tc>
          <w:tcPr>
            <w:tcW w:w="9120" w:type="dxa"/>
            <w:tcBorders>
              <w:top w:val="nil"/>
              <w:left w:val="nil"/>
              <w:bottom w:val="nil"/>
              <w:right w:val="nil"/>
            </w:tcBorders>
            <w:shd w:val="clear" w:color="auto" w:fill="E8EE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39F45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底线原则：无论Agent能力发展到何种程度，以下三类决策必须始终保留人工参与：（1）首次患者分型确认；（2）治疗方案的实质性调整；（3）生命体征异常的紧急处置。这是医疗安全和法律责任的底线。</w:t>
            </w:r>
          </w:p>
        </w:tc>
      </w:tr>
    </w:tbl>
    <w:p w14:paraId="50663608">
      <w:pPr>
        <w:spacing w:before="0" w:after="160"/>
      </w:pPr>
    </w:p>
    <w:p w14:paraId="57DA43C8">
      <w:r>
        <w:br w:type="page"/>
      </w:r>
    </w:p>
    <w:p w14:paraId="1FB75F57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十、多层评估标准体系</w:t>
      </w:r>
    </w:p>
    <w:p w14:paraId="653554A1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不同层的Agent有不同的评估维度，必须分层定义。警告：不能单独以"随访完成率"或"人工介入减少"作为目标——前者导致Agent只给容易响应的患者发消息，后者导致Agent回避应该升级的情况。</w:t>
      </w:r>
    </w:p>
    <w:p w14:paraId="5BAE7C9E">
      <w:pPr>
        <w:spacing w:before="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332"/>
        <w:gridCol w:w="1332"/>
        <w:gridCol w:w="1332"/>
        <w:gridCol w:w="1332"/>
        <w:gridCol w:w="1332"/>
      </w:tblGrid>
      <w:tr w14:paraId="3B0BD7BC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076D2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评估维度（权重）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021E1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服务助理Agent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A45C3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疾病规划Agent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4D58C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知识库体系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D02D2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运营分析Agent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F34DD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商业化Agent</w:t>
            </w:r>
          </w:p>
        </w:tc>
      </w:tr>
      <w:tr w14:paraId="554917B4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736E4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核心指标（40%）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F7A64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患者健康指标改善率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C6049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医生首稿接受率（减少审核轮次）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082B4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知识问答准确率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F83DE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分析报告转化为实际优化的比率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3CA89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院方续约率/患者续费率</w:t>
            </w:r>
          </w:p>
        </w:tc>
      </w:tr>
      <w:tr w14:paraId="0B2DC8BD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00E62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执行效率（25%）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357F8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随访完成率·依从率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C93FB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初稿生成时间·引用准确性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F61CF4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检索响应速度·召回率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67080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报告生成频率·及时性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4B9BD0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服务包匹配度</w:t>
            </w:r>
          </w:p>
        </w:tc>
      </w:tr>
      <w:tr w14:paraId="69265E87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575749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质量指标（20%）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9A3863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预警准确率（真阳性/误报/漏报）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4F88CF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模块间逻辑冲突检出率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8CB0F6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知识覆盖率·缺口识别速度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2B723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分析结论与实际结果相关性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E8B86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绩效指标与达成率相关性</w:t>
            </w:r>
          </w:p>
        </w:tc>
      </w:tr>
      <w:tr w14:paraId="6055E7BD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03F43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人工负担（10%）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F6F13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每百患者人工介入次数（趋势下降）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2011DD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医生审核时长（趋势下降）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177D7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人工审核知识量（趋势下降）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AB4598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管理层采纳建议率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572B5A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商业方案人工修改幅度（趋势下降）</w:t>
            </w:r>
          </w:p>
        </w:tc>
      </w:tr>
      <w:tr w14:paraId="25DAB158"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085711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体验指标（5%）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D55202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患者满意度/投诉率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99052C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0165A5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0868D7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13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6F3CFE"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>患者服务包价值感知评分</w:t>
            </w:r>
          </w:p>
        </w:tc>
      </w:tr>
    </w:tbl>
    <w:p w14:paraId="5AB53964">
      <w:pPr>
        <w:spacing w:before="0" w:after="160"/>
      </w:pPr>
    </w:p>
    <w:p w14:paraId="0B558E63">
      <w:r>
        <w:br w:type="page"/>
      </w:r>
    </w:p>
    <w:p w14:paraId="7E5769DC">
      <w:pPr>
        <w:pStyle w:val="2"/>
        <w:pBdr>
          <w:bottom w:val="single" w:color="E8622A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十一、运行一年后，荣科沉淀的是什么？</w:t>
      </w:r>
    </w:p>
    <w:p w14:paraId="14333EFB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这是整个体系设计最终要回答的问题。运行满一年的荣科平台，沉淀的不是一套软件，而是四类资产和一个持续加速的飞轮。这四类资产相互强化，共同构建竞争对手极难复制的护城河。</w:t>
      </w:r>
    </w:p>
    <w:p w14:paraId="15FF0536">
      <w:pPr>
        <w:spacing w:before="0" w:after="1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CE2B6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543D2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第一类：数据资产（最难复制）</w:t>
            </w:r>
          </w:p>
        </w:tc>
      </w:tr>
      <w:tr w14:paraId="4D74FDE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290197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患者纵向健康数据</w:t>
            </w:r>
          </w:p>
          <w:p w14:paraId="5BA30192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每位患者从入组到管理全过程的真实行为数据——体重曲线、症状变化、依从性记录、干预时间点和对应效果。这不是问卷数据，是在真实生活场景中持续采集的行为轨迹。时间越长、患者越多，数据的价值越高，且不可逆地积累，竞争对手无法购买或复制。</w:t>
            </w:r>
          </w:p>
          <w:p w14:paraId="1B2F8BCF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人工干预标注数据</w:t>
            </w:r>
          </w:p>
          <w:p w14:paraId="31777E0C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每次个案管理师介入、每次医生修改方案、每次预警误触发的纠正——这些结构化标注是AI优化的燃料。它的价值不只在数量，更在于它是"经过医学专业人员验证的正确答案"，这是其他任何平台都没有的训练信号。</w:t>
            </w:r>
          </w:p>
        </w:tc>
      </w:tr>
    </w:tbl>
    <w:p w14:paraId="4D14AD99">
      <w:pPr>
        <w:spacing w:before="0" w:after="1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E1EA6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6EDDA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第二类：知识资产（形成壁垒）</w:t>
            </w:r>
          </w:p>
        </w:tc>
      </w:tr>
      <w:tr w14:paraId="5E50217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1E12FE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病种临床路径IP</w:t>
            </w:r>
          </w:p>
          <w:p w14:paraId="54A95F85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不是照搬指南，而是指南经过医生修订、数据验证、真实患者检验后形成的荣科版管理协议。第一个病种需要3-6个月打磨，第十个病种可能2-3周完成——每个病种都让下一个病种的上线更快。这种复利积累，是荣科对外扩张最核心的壁垒。</w:t>
            </w:r>
          </w:p>
          <w:p w14:paraId="3DA97A09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A7A4A"/>
                <w:sz w:val="20"/>
                <w:szCs w:val="20"/>
              </w:rPr>
              <w:t>经过验证的问答知识库</w:t>
            </w:r>
          </w:p>
          <w:p w14:paraId="14B476D1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患者真实提问加上医生审核过的标准答案，这是从真实服务中生长出来的知识，不是从书本上照搬的。它针对真实患者在真实康复场景中的困惑，回答准确率和实用性远高于通用医学知识库。每增加一个病种和一批患者，知识库就更完整一层。</w:t>
            </w:r>
          </w:p>
        </w:tc>
      </w:tr>
    </w:tbl>
    <w:p w14:paraId="649D2F69">
      <w:pPr>
        <w:spacing w:before="0" w:after="1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A8945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FE8FD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第三类：AI能力资产（越用越强）</w:t>
            </w:r>
          </w:p>
        </w:tc>
      </w:tr>
      <w:tr w14:paraId="5D02DDE5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1C3A3D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各Agent的策略模型</w:t>
            </w:r>
          </w:p>
          <w:p w14:paraId="6C16E3E5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随访话术哪种效果好、什么情绪信号要升级、哪类患者依从性差、什么时间发提醒响应率最高——这些判断力都沉淀在Agent的策略层里，随数据积累持续提升。这不是通用大模型能直接提供的能力，而是在荣科专属场景中持续训练优化的结果。</w:t>
            </w:r>
          </w:p>
          <w:p w14:paraId="1EE48D27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1565C0"/>
                <w:sz w:val="20"/>
                <w:szCs w:val="20"/>
              </w:rPr>
              <w:t>病种扩展方法论</w:t>
            </w:r>
          </w:p>
          <w:p w14:paraId="434D4C8D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每成功上线一个病种，就形成了一套可复用的扩展范式：怎么找循证证据、怎么和医生共建、怎么配置知识库、怎么冷启动患者、怎么定价服务包。这套方法论显性化后，新团队成员的上手速度大幅提升，新病种的上线风险大幅降低。</w:t>
            </w:r>
          </w:p>
        </w:tc>
      </w:tr>
    </w:tbl>
    <w:p w14:paraId="41847543">
      <w:pPr>
        <w:spacing w:before="0" w:after="1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94177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62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6A695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第四类：关系与信任资产（最软也最硬）</w:t>
            </w:r>
          </w:p>
        </w:tc>
      </w:tr>
      <w:tr w14:paraId="3A2F369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BE9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74E178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E8622A"/>
                <w:sz w:val="20"/>
                <w:szCs w:val="20"/>
              </w:rPr>
              <w:t>医生共建关系</w:t>
            </w:r>
          </w:p>
          <w:p w14:paraId="04DB0882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参与设计过临床路径的医生，对这套系统有主人翁感——他们的临床经验被系统采纳和沉淀，他们会主动维护和推荐这套工具。这种关系不是合同能替代的，也不是竞争对手花钱能快速建立的。与医院科室深度绑定后，荣科的客户流失成本会大幅上升。</w:t>
            </w:r>
          </w:p>
          <w:p w14:paraId="7CFC4D05">
            <w:pPr>
              <w:spacing w:before="60" w:after="20"/>
            </w:pPr>
            <w:r>
              <w:rPr>
                <w:rFonts w:ascii="Arial" w:hAnsi="Arial" w:eastAsia="Arial" w:cs="Arial"/>
                <w:b/>
                <w:bCs/>
                <w:color w:val="E8622A"/>
                <w:sz w:val="20"/>
                <w:szCs w:val="20"/>
              </w:rPr>
              <w:t>患者品牌信任</w:t>
            </w:r>
          </w:p>
          <w:p w14:paraId="22B5A1C5">
            <w:pPr>
              <w:spacing w:before="0" w:after="60"/>
              <w:ind w:left="200"/>
            </w:pPr>
            <w:r>
              <w:rPr>
                <w:rFonts w:ascii="Arial" w:hAnsi="Arial" w:eastAsia="Arial" w:cs="Arial"/>
                <w:i w:val="0"/>
                <w:iCs w:val="0"/>
                <w:color w:val="444444"/>
                <w:sz w:val="19"/>
                <w:szCs w:val="19"/>
              </w:rPr>
              <w:t>在某个疾病领域形成口碑后——"食管癌术后康复找荣科"——新患者的获取成本大幅下降，院方主动推荐的意愿更强，患者续费率更高。这种品牌信任是时间和服务质量积累的产物，是竞争对手最难正面对抗的护城河。</w:t>
            </w:r>
          </w:p>
        </w:tc>
      </w:tr>
    </w:tbl>
    <w:p w14:paraId="31789556">
      <w:pPr>
        <w:spacing w:before="0" w:after="160"/>
      </w:pPr>
    </w:p>
    <w:p w14:paraId="27444EF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11.1 飞轮效应：四类资产如何相互强化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6C728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5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A81A8CD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荣科健康管理飞轮</w:t>
            </w:r>
          </w:p>
          <w:p w14:paraId="4ADC3672">
            <w:pPr>
              <w:spacing w:before="0"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E8622A"/>
                <w:sz w:val="20"/>
                <w:szCs w:val="20"/>
              </w:rPr>
              <w:t>患者越多</w:t>
            </w:r>
            <w:r>
              <w:rPr>
                <w:rFonts w:ascii="Arial" w:hAnsi="Arial" w:eastAsia="Arial" w:cs="Arial"/>
                <w:color w:val="1E3A5F"/>
                <w:sz w:val="20"/>
                <w:szCs w:val="20"/>
              </w:rPr>
              <w:t xml:space="preserve">  →  数据越好  →  AI越准  →  服务质量越高  →  口碑越好  →  </w:t>
            </w:r>
            <w:r>
              <w:rPr>
                <w:rFonts w:ascii="Arial" w:hAnsi="Arial" w:eastAsia="Arial" w:cs="Arial"/>
                <w:b/>
                <w:bCs/>
                <w:color w:val="E8622A"/>
                <w:sz w:val="20"/>
                <w:szCs w:val="20"/>
              </w:rPr>
              <w:t>患者越多</w:t>
            </w:r>
          </w:p>
          <w:p w14:paraId="6675A73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每一个环节都是壁垒，竞争对手需要同时在数据、知识、AI能力、医生关系四个维度赶上，且无法绕过时间积累。</w:t>
            </w:r>
          </w:p>
        </w:tc>
      </w:tr>
    </w:tbl>
    <w:p w14:paraId="043CE1E4">
      <w:pPr>
        <w:spacing w:before="0" w:after="160"/>
      </w:pPr>
    </w:p>
    <w:p w14:paraId="04007A0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11.2 与供应商平台的本质区别</w:t>
      </w:r>
    </w:p>
    <w:p w14:paraId="25C1C9DD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如果荣科只是使用腾讯或溪流的平台来执行健康管理服务，而不构建自己的知识资产、数据资产和AI能力，那么：</w:t>
      </w:r>
    </w:p>
    <w:p w14:paraId="205C1605">
      <w:pPr>
        <w:spacing w:before="0" w:after="80"/>
      </w:pPr>
    </w:p>
    <w:p w14:paraId="5033C4FC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患者数据存在供应商服务器，荣科只是数据的使用方而非所有者</w:t>
      </w:r>
    </w:p>
    <w:p w14:paraId="5F5C9487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临床路径依赖供应商的通用模板，荣科没有IP积累</w:t>
      </w:r>
    </w:p>
    <w:p w14:paraId="75AC8561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AI能力归属供应商，荣科随时可被替换</w:t>
      </w:r>
    </w:p>
    <w:p w14:paraId="26720007">
      <w:pPr>
        <w:spacing w:before="50" w:after="50"/>
        <w:ind w:left="360" w:hanging="260"/>
      </w:pPr>
      <w:r>
        <w:rPr>
          <w:rFonts w:ascii="Arial" w:hAnsi="Arial" w:eastAsia="Arial" w:cs="Arial"/>
          <w:color w:val="E8622A"/>
          <w:sz w:val="20"/>
          <w:szCs w:val="20"/>
        </w:rPr>
        <w:t xml:space="preserve">● </w:t>
      </w:r>
      <w:r>
        <w:rPr>
          <w:rFonts w:ascii="Arial" w:hAnsi="Arial" w:eastAsia="Arial" w:cs="Arial"/>
          <w:color w:val="333333"/>
          <w:sz w:val="20"/>
          <w:szCs w:val="20"/>
        </w:rPr>
        <w:t>医生关系绑定在供应商平台上，荣科的议价能力持续削弱</w:t>
      </w:r>
    </w:p>
    <w:p w14:paraId="3650E3C0">
      <w:pPr>
        <w:spacing w:before="0" w:after="80"/>
      </w:pPr>
    </w:p>
    <w:p w14:paraId="7B1BE7A6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本方案的核心价值，正是将荣科从一个"健康管理服务外包商"，转变为一个"拥有专属IP、数据和AI能力的健康管理平台"。外部供应商（腾讯/溪流）提供的是执行工具，荣科自己沉淀的才是真正的核心竞争力。</w:t>
      </w:r>
    </w:p>
    <w:p w14:paraId="64B7D9CA">
      <w:pPr>
        <w:spacing w:before="0" w:after="160"/>
      </w:pPr>
    </w:p>
    <w:p w14:paraId="2952BD6D">
      <w:pPr>
        <w:pBdr>
          <w:top w:val="single" w:color="E8622A" w:sz="4" w:space="4"/>
        </w:pBdr>
        <w:spacing w:before="200" w:after="0"/>
        <w:jc w:val="center"/>
      </w:pPr>
      <w:r>
        <w:rPr>
          <w:rFonts w:ascii="Arial" w:hAnsi="Arial" w:eastAsia="Arial" w:cs="Arial"/>
          <w:color w:val="999999"/>
          <w:sz w:val="18"/>
          <w:szCs w:val="18"/>
        </w:rPr>
        <w:t>荣科健康管理 · 内部战略文件 · 2026年4月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A992D">
    <w:pPr>
      <w:pBdr>
        <w:top w:val="single" w:color="CCCCCC" w:sz="4" w:space="2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BC36">
    <w:pPr>
      <w:pBdr>
        <w:bottom w:val="single" w:color="E8622A" w:sz="4" w:space="2"/>
      </w:pBdr>
    </w:pPr>
    <w:r>
      <w:rPr>
        <w:rFonts w:ascii="Arial" w:hAnsi="Arial" w:eastAsia="Arial" w:cs="Arial"/>
        <w:color w:val="888888"/>
        <w:sz w:val="18"/>
        <w:szCs w:val="18"/>
      </w:rPr>
      <w:t>荣科健康管理 · AI Agent协同体系 · 整体架构方案（完整版）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D52BF2"/>
    <w:rsid w:val="ADF39CBA"/>
    <w:rsid w:val="BF6548AE"/>
    <w:rsid w:val="EBFF9626"/>
    <w:rsid w:val="FBBA3916"/>
    <w:rsid w:val="FEE69351"/>
    <w:rsid w:val="FEEFA5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E3A5F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E8622A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40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2026-04-16T06:31:00Z</dcterms:created>
  <dc:creator>Un-named</dc:creator>
  <cp:lastModifiedBy>什什</cp:lastModifiedBy>
  <dcterms:modified xsi:type="dcterms:W3CDTF">2026-04-17T09:11:26Z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3FA827BB9ECD3F5D0530DF69F49D4720_42</vt:lpwstr>
  </property>
</Properties>
</file>