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160" w:before="0"/>
        <w:jc w:val="center"/>
      </w:pPr>
      <w:r>
        <w:rPr>
          <w:rFonts w:ascii="Arial" w:cs="Arial" w:eastAsia="Arial" w:hAnsi="Arial"/>
          <w:b/>
          <w:bCs/>
          <w:color w:val="1E3A5F"/>
          <w:sz w:val="54"/>
          <w:szCs w:val="54"/>
        </w:rPr>
        <w:t xml:space="preserve">荣科健康管理平台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E8622A"/>
          <w:sz w:val="40"/>
          <w:szCs w:val="40"/>
        </w:rPr>
        <w:t xml:space="preserve">AI Agent 智能服务体系</w:t>
      </w:r>
    </w:p>
    <w:p>
      <w:pPr>
        <w:spacing w:after="80" w:before="0"/>
        <w:jc w:val="center"/>
      </w:pPr>
      <w:r>
        <w:rPr>
          <w:rFonts w:ascii="Arial" w:cs="Arial" w:eastAsia="Arial" w:hAnsi="Arial"/>
          <w:b w:val="false"/>
          <w:bCs w:val="false"/>
          <w:color w:val="1E3A5F"/>
          <w:sz w:val="36"/>
          <w:szCs w:val="36"/>
        </w:rPr>
        <w:t xml:space="preserve">整体架构方案</w:t>
      </w:r>
    </w:p>
    <w:p>
      <w:pPr>
        <w:pBdr>
          <w:bottom w:val="single" w:color="E8622A" w:sz="6" w:space="4"/>
        </w:pBdr>
        <w:spacing w:after="60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Human-in-the-Loop · 通用框架 · 持续强化学习</w:t>
      </w:r>
    </w:p>
    <w:p>
      <w:pPr>
        <w:spacing w:after="40" w:before="5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荣科医疗健康管理事业部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2026年4月</w:t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一、核心设计理念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本方案构建的AI Agent体系，核心哲学是：AI负责执行，人负责判断，人机协作产生记忆，记忆驱动Agent持续进化。这不是一个"替代人工"的系统，而是一个"让人工的价值不断向上迁移"的系统——从执行者变成审核者，从审核者变成策略制定者，最终人工只需处理真正需要人类判断力的复杂情境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设计原则：Agent的天花板不是"替代所有人工"，而是"让每一位人类团队成员，能够服务10倍数量的患者，同时提供更高质量的干预"。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1.1 三层能力分工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层级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执行者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职责定义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人工参与度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L1 自动执行层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Agent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标准化、规则明确的任务：随访、提醒、监测、推送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0% — 全自动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L2 辅助决策层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 + 人工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AI生成建议，人工审核确认后执行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20-30% — 审核确认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L3 人工主导层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 + AI辅助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情感支持、复杂医学判断、危机干预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80-100% — 主导决策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1.2 系统演进方向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系统上线初期，L1:L2:L3的比例约为5:3:2。随着Agent从人工干预中持续学习，L1的覆盖范围逐步扩大，L2的审核负担逐步降低，L3始终存在但处理的都是真正高价值的复杂案例。这是一个"人工密度递减、人工价值递增"的演进路径。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二、整体架构：通用Agent框架 + 病种知识层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架构的核心判断：各病种的Agent行为逻辑高度同构（随访→监测→预警→干预→评估），差异仅在知识内容和触发参数。因此采用"一套执行引擎 + 可插拔病种知识插件"的架构，既保证扩展效率，又实现跨病种学习迁移。</w:t>
      </w:r>
    </w:p>
    <w:p>
      <w:pPr>
        <w:spacing w:after="80" w:before="0"/>
      </w:pPr>
      <w:r>
        <w:t xml:space="preserve"/>
      </w:r>
    </w:p>
    <w:p>
      <w:pPr>
        <w:pStyle w:val="Heading3"/>
        <w:spacing w:after="80" w:before="180"/>
      </w:pPr>
      <w:r>
        <w:rPr>
          <w:rFonts w:ascii="Arial" w:cs="Arial" w:eastAsia="Arial" w:hAnsi="Arial"/>
          <w:b/>
          <w:bCs/>
          <w:color w:val="E8622A"/>
          <w:sz w:val="22"/>
          <w:szCs w:val="22"/>
        </w:rPr>
        <w:t xml:space="preserve">架构分层图（文字描述）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第一层 · 患者交互层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微信小程序 / APP / 电话外呼 / 企业微信 — 患者触达入口，数据采集出口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20"/>
                <w:szCs w:val="20"/>
              </w:rPr>
              <w:t xml:space="preserve">第二层 · 通用Agent执行引擎（核心）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随访Agent · 预警Agent · 问答Agent · 患教Agent · 摘要Agent · 升级路由Agent — 执行所有L1任务，按规则触发L2/L3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20"/>
                <w:szCs w:val="20"/>
              </w:rPr>
              <w:t xml:space="preserve">第三层 · 病种知识插件层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食管癌知识包 / 肺癌知识包 / 糖尿病知识包 … — 临床路径规则 · 预警阈值 · 评估量表 · 知识库 · 话术模板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20"/>
                <w:szCs w:val="20"/>
              </w:rPr>
              <w:t xml:space="preserve">第四层 · 人工协作层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个案管理师工作台 · 医生审核界面 · 营养师面板 — 接收Agent升级任务，执行L2/L3干预，填写结构化反馈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20"/>
                <w:szCs w:val="20"/>
              </w:rPr>
              <w:t xml:space="preserve">第五层 · 记忆与学习层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干预记录库 · 效果标注库 · 策略优化引擎 — 沉淀人工干预数据，定期生成优化建议，经审核后更新Agent策略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2.1 为什么不按病种独立建Agent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行为逻辑共用：随访执行、预警分诊、升级路由在食管癌和肺癌之间逻辑完全相同，差的只是参数配置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跨病种学习：患者依从性干预策略、情绪预警识别等能力，积累在通用层上后，新病种上线即刻受益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维护成本：5个病种×独立Agent = 5套维护工作；通用框架 = 1套框架 + 5个知识插件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扩展效率：新增一个病种，只需配置知识插件，Agent本体无需改动，上线周期从月级压缩到周级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2.2 病种知识插件包含什么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80"/>
        <w:gridCol w:w="2160"/>
        <w:gridCol w:w="198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插件组件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内容说明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谁来配置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更新频率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临床路径规则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各时间节点的干预动作和顺序逻辑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 + 运营（AI辅助初稿）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每季度复审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预警阈值配置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各指标的触发阈值和升级逻辑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医生审核确认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基于数据动态调整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评估量表库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适用该病种的标准化量表及评分规则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运营配置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随指南更新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知识问答库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该病种的高频患者问题和标准答案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RAG索引，医生定期审核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持续增量更新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随访话术模板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不同场景下的沟通脚本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运营编写，AI优化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基于效果数据迭代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患教内容库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科普文章、视频、饮食建议等内容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内容团队制作</w:t>
            </w:r>
          </w:p>
        </w:tc>
        <w:tc>
          <w:tcPr>
            <w:tcW w:type="dxa" w:w="19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持续补充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三、Agent工作流：生成方案 → 执行方案 → 人工介入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每位患者入组后，系统自动触发完整的Agent工作流。以下是端到端的流程描述，每个节点都明确标注AI自动执行、人工审核、或联合决策。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3.1 阶段一：入组与方案生成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入组方案生成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触发条件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患者完成入组信息填写（基础信息 + 病历上传 + 问卷）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AI自动执行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解析上传病历（OCR + LLM），提取关键信息：手术时间、病理分期、既往治疗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根据病种知识插件 + 患者信息，匹配患者分型（如：术后早期/化疗中/稳定随访期）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基于分型自动生成个性化管理方案初稿：路径时间线、随访频率、重点监测指标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生成首次随访任务，推送给个案管理师工作台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人工审核点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个案管理师审核AI生成的患者分型是否准确（确认/调整）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医生确认高风险患者的初始管理方案（标记为必须人工确认）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审核完成后方案正式激活，Agent开始执行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输出结果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结构化患者档案（含AI提取的关键信息）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激活的个性化管理方案（含路径时间线）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E3A5F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第一阶段随访任务队列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3.2 阶段二：方案执行（持续运行）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65C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随访执行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执行逻辑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按管理方案时间线，在预设节点自动发起随访（微信消息/AI外呼）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发送标准化问卷，采集患者症状、体重、饮食、用药依从性等数据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患者回复后，AI实时解析内容，更新健康档案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随访完成后生成摘要，推送至个案管理师每日工作面板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异常处理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患者24小时未回复：自动重试（最多3次），仍无回应则推送给管理师处理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患者回复内容包含负面情绪词：触发情绪预警，升级至L2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患者描述症状超出AI判断边界：标记"需人工复核"并推送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65C0"/>
                <w:sz w:val="19"/>
                <w:szCs w:val="19"/>
              </w:rPr>
              <w:t xml:space="preserve">人工介入点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管理师每日查看AI摘要面板，重点关注标红患者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565C0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对AI无法处理的随访内容，管理师直接介入跟进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4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实时监测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监测维度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患者上报数据（体重、症状、用药）的持续分析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随访问卷评分趋势（是否连续下滑）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量表评分异常（PHQ-9/NRS等超过阈值）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患者聊天内容的情绪语义分析（NLP）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AI自动执行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所有监测逻辑全自动运行，7×24小时不间断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异常触发时，按升级规则自动路由到对应角色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生成预警摘要（含异常指标、触发原因、建议动作）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7A4A"/>
                <w:sz w:val="19"/>
                <w:szCs w:val="19"/>
              </w:rPr>
              <w:t xml:space="preserve">人工介入点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接收预警推送后，管理师/医生查看摘要，决定干预方式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1A7A4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干预完成后必须填写结构化反馈（这是记忆层的输入数据）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A057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知识问答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9"/>
                <w:szCs w:val="19"/>
              </w:rPr>
              <w:t xml:space="preserve">执行逻辑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患者提问时，RAG检索病种知识库，生成回答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回答前自动标注置信度：高（直接回复）/ 中（回复后提示可咨询医生）/ 低（转人工）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所有问答记录归档，低置信度问题汇总后推送给医生定期审核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6A0572"/>
                <w:sz w:val="19"/>
                <w:szCs w:val="19"/>
              </w:rPr>
              <w:t xml:space="preserve">人工介入点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置信度低的问题：转至管理师或医生处理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医生每周审核AI回答质量，标注错误答案（错误答案自动从知识库中降权）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6A0572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患者明确要求"我要和真人说话"：立即转人工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3.3 阶段三：评估与方案调整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2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阶段评估 Agent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触发时机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每个路径节点的阶段末（如：术后第1个月末、化疗第2周期末）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AI自动执行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汇总该阶段所有健康数据，计算各维度评分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与基线数据对比，生成阶段评估报告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根据评估结果，AI推荐下一阶段方案调整建议（如：升级随访频率/降低监测强度）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E8622A"/>
                <w:sz w:val="19"/>
                <w:szCs w:val="19"/>
              </w:rPr>
              <w:t xml:space="preserve">人工审核点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医生/管理师审核评估报告和调整建议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确认是否接受AI建议，或手动修改方案</w:t>
            </w:r>
          </w:p>
          <w:p>
            <w:pPr>
              <w:spacing w:after="40" w:before="40"/>
              <w:ind w:left="240" w:hanging="200"/>
            </w:pPr>
            <w:r>
              <w:rPr>
                <w:rFonts w:ascii="Arial" w:cs="Arial" w:eastAsia="Arial" w:hAnsi="Arial"/>
                <w:color w:val="E8622A"/>
                <w:sz w:val="19"/>
                <w:szCs w:val="19"/>
              </w:rPr>
              <w:t xml:space="preserve">•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审核决策记录（接受/修改/拒绝 + 原因）进入记忆层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四、Human-in-the-Loop：人工干预如何形成记忆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人工干预的数据是整个学习系统最宝贵的资产。但"记录"本身不等于"记忆"——只有结构化的、可被机器解析的干预记录，才能成为Agent学习的燃料。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关键设计：每一次人工介入，系统强制要求填写结构化反馈表单。不是自由文字，而是有限选项 + 关键维度打标。这一步是整个学习闭环的数据入口，不可省略。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人工干预结构化反馈设计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4320"/>
        <w:gridCol w:w="288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反馈维度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字段设计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目的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介入原因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AI预警触发 / 患者主动求助 / 管理师主动发现 / 医生建议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分析哪类触发条件准确率低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AI判断是否准确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准确 / 部分准确 / 错误（附错误类型）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直接反馈给预警/分诊Agent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干预动作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电话沟通 / 消息跟进 / 调整方案 / 转介医生 / 转介营养师 / 心理支持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学习哪种干预在什么情境最有效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干预效果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患者反应积极 / 中性 / 消极 / 无回应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短期效果标注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7天后追踪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指标改善 / 无变化 / 恶化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长期效果标注（系统自动提醒填写）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知识库标注</w:t>
            </w:r>
          </w:p>
        </w:tc>
        <w:tc>
          <w:tcPr>
            <w:tcW w:type="dxa" w:w="43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患者问题是否已在库中？答案是否准确？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驱动知识库持续更新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记忆分层存储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短期记忆（当前患者上下文）：该患者最近N次随访内容、情绪趋势、最近干预记录，Agent在每次执行前自动加载，确保上下文连贯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中期记忆（病种策略库）：该病种所有干预案例的效果数据，Agent生成建议时的参考基础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长期记忆（通用Agent能力）：跨病种的患者行为规律、依从性干预策略、情绪识别模式，沉淀在通用执行引擎层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555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设计细节：患者的个人隐私数据（姓名、身份信息）与学习数据严格分离。学习层使用的是脱敏后的行为特征和干预效果数据，不含个人识别信息。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五、持续强化学习：Agent如何自动优化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记忆积累到一定量后，系统启动定期优化循环。这个循环不是全自动的——每一次策略更新都需要经过人工审核才能部署，确保医疗安全。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优化循环（每月执行）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6480"/>
        <w:gridCol w:w="144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执行内容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执行者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1. 数据汇总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AI自动汇总上月所有干预记录：预警准确率、随访完成率、干预效果分布、患者满意度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AI自动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2. 问题识别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AI识别表现最差的策略模块（如：某类预警误触发率&gt;30%；某话术患者响应率低）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AI自动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3. 优化建议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AI生成具体的优化方案：调整阈值、更新话术、修改升级规则（含预期效果预测）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565C0"/>
                <w:sz w:val="17"/>
                <w:szCs w:val="17"/>
              </w:rPr>
              <w:t xml:space="preserve">AI生成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4. 人工审核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产品负责人 + 医学顾问共同审核AI优化建议，决策：接受/修改/拒绝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7"/>
                <w:szCs w:val="17"/>
              </w:rPr>
              <w:t xml:space="preserve">人工必须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5. 灰度测试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审核通过的策略，先在5-10%患者中灰度测试，观察2周效果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7"/>
                <w:szCs w:val="17"/>
              </w:rPr>
              <w:t xml:space="preserve">AI执行+人工观察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8"/>
                <w:szCs w:val="18"/>
              </w:rPr>
              <w:t xml:space="preserve">6. 全量部署</w:t>
            </w:r>
          </w:p>
        </w:tc>
        <w:tc>
          <w:tcPr>
            <w:tcW w:type="dxa" w:w="6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color w:val="333333"/>
                <w:sz w:val="18"/>
                <w:szCs w:val="18"/>
              </w:rPr>
              <w:t xml:space="preserve">灰度效果达标后，全量更新Agent策略；不达标则回滚并重新分析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BE9E7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622A"/>
                <w:sz w:val="17"/>
                <w:szCs w:val="17"/>
              </w:rPr>
              <w:t xml:space="preserve">人工确认后AI执行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评估标准定义（核心）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Agent的优化目标必须在系统设计时明确定义，否则AI会优化错误的指标。以下是推荐的多维评估体系：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880"/>
        <w:gridCol w:w="1080"/>
        <w:gridCol w:w="30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评估维度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核心指标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权重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患者健康结果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关键健康指标改善率 / 并发症发生率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40%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最终目标，最重要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依从性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随访完成率 / 用药坚持率 / 健康计划执行率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Agent执行有效性的直接体现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预警准确性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预警触发准确率 / 漏报率 / 误报率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过高误报会导致人工负担过重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人工负担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每100名患者需要人工介入的次数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10%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衡量Agent自主能力的进步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患者满意度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随访满意度评分 / 投诉率</w:t>
            </w:r>
          </w:p>
        </w:tc>
        <w:tc>
          <w:tcPr>
            <w:tcW w:type="dxa" w:w="1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5%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防止Agent行为引发患者反感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BE9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警告：不能单独以"随访完成率"或"人工介入次数减少"作为评估目标。前者会导致Agent只给容易响应的患者发消息；后者会导致Agent回避应该升级的情况。必须以健康结果为核心指标，其他指标为约束条件。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六、三阶段实施路径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整个体系的建设分三个阶段推进，每个阶段有明确的交付物和验收标准，不追求一步到位。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第一阶段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执行稳定化（0-6个月）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目标：Agent可靠执行标准任务，人工干预数据开始积累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搭建通用Agent执行引擎（随访/预警/问答/患教四个核心Agent）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上线食管癌病种知识插件，作为首个全量验证病种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设计并上线结构化人工反馈表单，确保干预记录可机器解析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建立基础评估看板（随访完成率、预警准确率、人工介入分布）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验收标准：随访完成率&gt;70%；预警误触发率&lt;20%；系统稳定运行30天无重大故障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6000"/>
      </w:tblGrid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交付物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说明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通用Agent执行引擎 v1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随访、预警、问答、患教四个Agent上线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食管癌知识插件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首个完整病种配置包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人工反馈系统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结构化干预记录表单 + 数据存储</w:t>
            </w:r>
          </w:p>
        </w:tc>
      </w:tr>
      <w:tr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基础评估看板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关键指标实时可视化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第二阶段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4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数据积累与初步优化（6-18个月）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目标：形成第一批可用的学习数据，Agent开始小范围自我优化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扩展至2-3个病种（基于食管癌框架，快速配置知识插件）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启动月度优化循环（基于积累的干预数据，每月生成一批优化建议）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上线灰度测试机制，优化策略先小范围验证再全量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开始跨病种知识迁移（将食管癌学到的依从性策略迁移到新病种）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验收标准：已积累1000条以上有效干预记录；完成至少2轮优化循环；Agent自主处理率提升10个百分点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22A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第三阶段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A057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持续进化（18个月+）</w:t>
            </w:r>
          </w:p>
          <w:p>
            <w:r>
              <w:rPr>
                <w:rFonts w:ascii="Arial" w:cs="Arial" w:eastAsia="Arial" w:hAnsi="Arial"/>
                <w:color w:val="CCCCCC"/>
                <w:sz w:val="18"/>
                <w:szCs w:val="18"/>
              </w:rPr>
              <w:t xml:space="preserve">目标：Agent能力持续提升，人工价值向高价值案例集中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Agent覆盖5个以上病种，通用能力显著增强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优化循环频率提升至双周，Agent迭代速度加快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人工团队从"执行随访"转型为"策略审核 + 复杂案例处理"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建立Agent能力评级体系，对每个Agent的可信度进行量化评分</w:t>
      </w:r>
    </w:p>
    <w:p>
      <w:pPr>
        <w:spacing w:after="50" w:before="50"/>
        <w:ind w:left="360" w:hanging="260"/>
      </w:pPr>
      <w:r>
        <w:rPr>
          <w:rFonts w:ascii="Arial" w:cs="Arial" w:eastAsia="Arial" w:hAnsi="Arial"/>
          <w:color w:val="E8622A"/>
          <w:sz w:val="20"/>
          <w:szCs w:val="20"/>
        </w:rPr>
        <w:t xml:space="preserve">●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探索低风险场景的更高自主度（如：标准随访话术的自动A/B测试）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E8622A" w:sz="8" w:space="4"/>
        </w:pBdr>
        <w:spacing w:after="18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七、人工角色的未来演变</w:t>
      </w:r>
    </w:p>
    <w:p>
      <w:pPr>
        <w:spacing w:after="6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随着Agent能力提升，人工团队的工作重心将系统性地向上迁移。这不是裁员，而是价值重构——同样的人力，服务更多患者，处理更高价值的工作。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角色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今天（第一阶段）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未来（第三阶段后）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个案管理师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主要时间用于执行标准随访和数据录入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聚焦高风险患者的深度陪伴和复杂问题处置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专科医生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频繁回答常见患者问题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专注于真正需要临床判断的复杂决策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营养师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重复生成相似患者的饮食方案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处理特殊情况，审核和优化AI生成的方案库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产品/运营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手动配置病种参数，排查规则冲突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策略设计者：定义评估标准，审核优化建议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医学顾问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参与所有患者案例的初始配置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审核Agent的策略更新，把控医疗安全边界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"/>
        <w:gridCol w:w="9120"/>
      </w:tblGrid>
      <w:tr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/>
            </w:r>
          </w:p>
        </w:tc>
        <w:tc>
          <w:tcPr>
            <w:tcW w:type="dxa" w:w="9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EF5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底线原则：无论Agent能力发展到何种程度，以下三类决策必须始终保留人工参与：（1）首次患者分型确认；（2）治疗方案的实质性调整；（3）生命体征异常的紧急处置。这是医疗安全和法律责任的底线，不因技术进步而改变。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top w:val="single" w:color="E8622A" w:sz="4" w:space="4"/>
        </w:pBdr>
        <w:spacing w:after="0" w:before="200"/>
        <w:jc w:val="center"/>
      </w:pPr>
      <w:r>
        <w:rPr>
          <w:rFonts w:ascii="Arial" w:cs="Arial" w:eastAsia="Arial" w:hAnsi="Arial"/>
          <w:color w:val="999999"/>
          <w:sz w:val="18"/>
          <w:szCs w:val="18"/>
        </w:rPr>
        <w:t xml:space="preserve">荣科健康管理 · 内部战略文件 ·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第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622A" w:sz="4" w:space="2"/>
      </w:pBdr>
    </w:pPr>
    <w:r>
      <w:rPr>
        <w:rFonts w:ascii="Arial" w:cs="Arial" w:eastAsia="Arial" w:hAnsi="Arial"/>
        <w:color w:val="888888"/>
        <w:sz w:val="18"/>
        <w:szCs w:val="18"/>
      </w:rPr>
      <w:t xml:space="preserve">荣科健康管理 · AI Agent 智能服务体系架构方案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E8622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2026-04-15T02:42:04.674Z</dcterms:created>
  <dcterms:modified xsi:type="dcterms:W3CDTF">2026-04-15T02:42:04.674Z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