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val="false"/>
          <w:bCs w:val="false"/>
          <w:sz w:val="48"/>
          <w:szCs w:val="48"/>
        </w:rPr>
        <w:t xml:space="preserve">Diagnosing and Fixing Train/Test Degradation Mismatch in Lightweight Satellite Image Classifiers</w:t>
      </w:r>
    </w:p>
    <w:p>
      <w:pPr>
        <w:spacing w:after="40"/>
        <w:jc w:val="center"/>
      </w:pPr>
      <w:r>
        <w:rPr>
          <w:rFonts w:ascii="Times New Roman" w:cs="Times New Roman" w:eastAsia="Times New Roman" w:hAnsi="Times New Roman"/>
          <w:sz w:val="22"/>
          <w:szCs w:val="22"/>
        </w:rPr>
        <w:t xml:space="preserve">Tara Jitpattanakul</w:t>
      </w:r>
    </w:p>
    <w:p>
      <w:pPr>
        <w:spacing w:after="300"/>
        <w:jc w:val="center"/>
      </w:pPr>
      <w:r>
        <w:rPr>
          <w:rFonts w:ascii="Times New Roman" w:cs="Times New Roman" w:eastAsia="Times New Roman" w:hAnsi="Times New Roman"/>
          <w:i/>
          <w:iCs/>
          <w:sz w:val="20"/>
          <w:szCs w:val="20"/>
        </w:rPr>
        <w:t xml:space="preserve">Independent Researcher</w:t>
      </w:r>
    </w:p>
    <w:p>
      <w:pPr>
        <w:sectPr>
          <w:pgSz w:w="12240" w:h="15840" w:orient="portrait"/>
          <w:pgMar w:top="1080" w:right="900" w:bottom="1080" w:left="900" w:header="708" w:footer="708" w:gutter="0"/>
          <w:pgNumType/>
          <w:docGrid w:linePitch="360"/>
        </w:sectPr>
      </w:pPr>
    </w:p>
    <w:p>
      <w:pPr>
        <w:spacing w:after="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i/>
          <w:iCs/>
          <w:sz w:val="20"/>
          <w:szCs w:val="20"/>
        </w:rPr>
        <w:t xml:space="preserve">Onboard AI classification is increasingly used to reduce satellite downlink demands, but models are typically trained on calibrated Level-1 imagery while deployment involves noisier, raw sensor output. Clean-trained models failing on corrupted test data is a well-documented general phenomenon; we show it is severe in this specific, understudied setting: across three lightweight architectures (SimpleCNN, MobileNetV2, ViT-Tiny) evaluated on EuroSAT, a model trained on clean imagery and evaluated on severely degraded imagery loses 53–89% of its accuracy relative to clean performance, collapsing toward random-chance levels, while a model trained and evaluated under matched severe degradation loses at most a few percent (significant for 5 of 6 conditions after Bonferroni correction, n=10 seeds). We further show a standard mitigation from the corruption-robustness literature — training with a randomized degradation level per image, per epoch — remains effective despite the label scarcity and lightweight-architecture constraints atypical of that literature, closing 65–99% of the mismatch-induced accuracy gap (p &lt; 0.001 in 5 of 6 conditions). A secondary architecture-dependent nuance emerges in how gradually this risk builds: MobileNetV2 shows an all-or-nothing cliff, while SimpleCNN and ViT-Tiny degrade more gradually. These results suggest onboard AI development should treat degradation-randomized training as a default practice given its low cost and demonstrated effectiveness under these constraints.</w:t>
      </w:r>
    </w:p>
    <w:p>
      <w:pPr>
        <w:spacing w:after="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onboard satellite AI, domain shift, sensor degradation, few-shot learning, lightweight neural networks, EuroSAT, remote sensing.</w:t>
      </w:r>
    </w:p>
    <w:p>
      <w:pPr>
        <w:spacing w:after="120" w:before="200"/>
        <w:jc w:val="center"/>
      </w:pPr>
      <w:r>
        <w:rPr>
          <w:rFonts w:ascii="Times New Roman" w:cs="Times New Roman" w:eastAsia="Times New Roman" w:hAnsi="Times New Roman"/>
          <w:b/>
          <w:bCs/>
          <w:sz w:val="20"/>
          <w:szCs w:val="20"/>
        </w:rPr>
        <w:t xml:space="preserve">I. Introduction</w:t>
      </w:r>
    </w:p>
    <w:p>
      <w:pPr>
        <w:spacing w:after="0"/>
        <w:ind w:firstLine="288"/>
        <w:jc w:val="both"/>
      </w:pPr>
      <w:r>
        <w:rPr>
          <w:rFonts w:ascii="Times New Roman" w:cs="Times New Roman" w:eastAsia="Times New Roman" w:hAnsi="Times New Roman"/>
          <w:sz w:val="20"/>
          <w:szCs w:val="20"/>
        </w:rPr>
        <w:t xml:space="preserve">Earth observation satellites now capture more imagery than their downlink bandwidth can transmit in a reasonable time, pushing research toward running AI directly onboard — classifying or filtering imagery in orbit so only useful data is sent down. Missions like ESA's Φ-Sat-1, OPS-SAT, and RaVAEn have shown this is feasible, but expose two obstacles standing between feasible and reliably deployable.</w:t>
      </w:r>
    </w:p>
    <w:p>
      <w:pPr>
        <w:spacing w:after="0"/>
        <w:ind w:firstLine="288"/>
        <w:jc w:val="both"/>
      </w:pPr>
      <w:r>
        <w:rPr>
          <w:rFonts w:ascii="Times New Roman" w:cs="Times New Roman" w:eastAsia="Times New Roman" w:hAnsi="Times New Roman"/>
          <w:sz w:val="20"/>
          <w:szCs w:val="20"/>
        </w:rPr>
        <w:t xml:space="preserve">The first is label scarcity: labeling Earth observation imagery is slow and expensive, especially for new sensors or missions with no historical archive. Few-shot classification work, notably the OPS-SAT Case competition, addresses this by training from a handful of labeled examples per class. The second is data quality: onboard models are typically trained on Level-1 imagery, already calibrated and atmospherically corrected, while onboard inference works on noisier, lower-bit-depth raw sensor output. Work simulating this raw-to-L1 gap shows models lose robustness — particularly at object boundaries — when evaluated on raw-like data.</w:t>
      </w:r>
    </w:p>
    <w:p>
      <w:pPr>
        <w:spacing w:after="0"/>
        <w:ind w:firstLine="288"/>
        <w:jc w:val="both"/>
      </w:pPr>
      <w:r>
        <w:rPr>
          <w:rFonts w:ascii="Times New Roman" w:cs="Times New Roman" w:eastAsia="Times New Roman" w:hAnsi="Times New Roman"/>
          <w:sz w:val="20"/>
          <w:szCs w:val="20"/>
        </w:rPr>
        <w:t xml:space="preserve">These obstacles have been studied in isolation: few-shot papers benchmark on clean imagery; raw-data robustness papers assume ample labels. Critically, both typically train and evaluate under the SAME image conditions — either both clean, or both matched to a fixed degradation profile. That clean-trained models fail on corrupted test data is itself well documented in general computer vision [12], [13], but real onboard deployment adds constraints this literature has not addressed: a model trained on standard, ground-corrected Level-1 imagery will encounter raw, uncorrected sensor output at inference time, under the added pressures of a lightweight architecture and scarce labeled training data.</w:t>
      </w:r>
    </w:p>
    <w:p>
      <w:pPr>
        <w:spacing w:after="0"/>
        <w:ind w:firstLine="288"/>
        <w:jc w:val="both"/>
      </w:pPr>
      <w:r>
        <w:rPr>
          <w:rFonts w:ascii="Times New Roman" w:cs="Times New Roman" w:eastAsia="Times New Roman" w:hAnsi="Times New Roman"/>
          <w:sz w:val="20"/>
          <w:szCs w:val="20"/>
        </w:rPr>
        <w:t xml:space="preserve">We address this directly. Evaluating three lightweight classifiers — a from-scratch CNN, pretrained MobileNetV2, and pretrained ViT-Tiny — we show that a well-known general robustness risk, train/test degradation mismatch, is severe in this specific setting: models trained on clean imagery and evaluated on severely degraded imagery lose 53–89% of their accuracy, collapsing toward random-chance levels, while models trained and evaluated under matched degradation lose at most a few percent. We further show a standard mitigation from the corruption-robustness literature remains effective here despite label scarcity and architecture constraints atypical of that literature, closing most of this gap. A secondary result shows the interaction between label scarcity and matched degradation severity is architecture-dependent rather than universal.</w:t>
      </w:r>
    </w:p>
    <w:p>
      <w:pPr>
        <w:spacing w:after="120" w:before="200"/>
        <w:jc w:val="center"/>
      </w:pPr>
      <w:r>
        <w:rPr>
          <w:rFonts w:ascii="Times New Roman" w:cs="Times New Roman" w:eastAsia="Times New Roman" w:hAnsi="Times New Roman"/>
          <w:b/>
          <w:bCs/>
          <w:sz w:val="20"/>
          <w:szCs w:val="20"/>
        </w:rPr>
        <w:t xml:space="preserve">II. Related Work</w:t>
      </w:r>
    </w:p>
    <w:p>
      <w:pPr>
        <w:spacing w:after="80" w:before="160"/>
      </w:pPr>
      <w:r>
        <w:rPr>
          <w:rFonts w:ascii="Times New Roman" w:cs="Times New Roman" w:eastAsia="Times New Roman" w:hAnsi="Times New Roman"/>
          <w:b/>
          <w:bCs/>
          <w:i/>
          <w:iCs/>
          <w:sz w:val="20"/>
          <w:szCs w:val="20"/>
        </w:rPr>
        <w:t xml:space="preserve">A. Prior Work</w:t>
      </w:r>
    </w:p>
    <w:p>
      <w:pPr>
        <w:spacing w:after="0"/>
        <w:ind w:firstLine="288"/>
        <w:jc w:val="both"/>
      </w:pPr>
      <w:r>
        <w:rPr>
          <w:rFonts w:ascii="Times New Roman" w:cs="Times New Roman" w:eastAsia="Times New Roman" w:hAnsi="Times New Roman"/>
          <w:sz w:val="20"/>
          <w:szCs w:val="20"/>
        </w:rPr>
        <w:t xml:space="preserve">A growing body of work runs AI inference directly on satellite hardware rather than downlinking imagery for ground processing. RaVAEn demonstrated onboard few-shot training on a CubeSat [5]; the OPS-SAT Case competition framed onboard classification as data-scarce and resource-constrained, establishing EfficientNetLite-based few-shot classification as a baseline [1]; related work extended this with shallow, non-deep-learning classifiers for hyperspectral edge computing [2]. A broader survey situates these efforts within a wider set of few-label techniques, including semi-supervised approaches such as MSMatch [6]. Separately, work simulating the raw (Level-0) to processed (Level-1) gap found that models trained on clean data lose robustness — particularly at object boundaries — when evaluated on raw-like inputs [7], distinct from label-noise robustness, a related but separate data-quality concern also studied on satellite benchmarks [9]. Related work introduced lightweight restoration models to correct degraded onboard imagery before classification [3]. More broadly, the general phenomenon of clean-trained models failing on corrupted test data is well established: Hendrycks and Dietterich's ImageNet-C benchmark showed corruption robustness is not predicted by clean accuracy [12], and Ford et al. showed noise-augmented training improves robustness to matching test-time noise [13]. GenFormer introduced EuroSAT-C, a corrupted-EuroSAT benchmark used for evaluation in [8], extending this general-vision literature to remote sensing [14].</w:t>
      </w:r>
    </w:p>
    <w:p>
      <w:pPr>
        <w:spacing w:after="80" w:before="160"/>
      </w:pPr>
      <w:r>
        <w:rPr>
          <w:rFonts w:ascii="Times New Roman" w:cs="Times New Roman" w:eastAsia="Times New Roman" w:hAnsi="Times New Roman"/>
          <w:b/>
          <w:bCs/>
          <w:i/>
          <w:iCs/>
          <w:sz w:val="20"/>
          <w:szCs w:val="20"/>
        </w:rPr>
        <w:t xml:space="preserve">B. The Gap Between Them</w:t>
      </w:r>
    </w:p>
    <w:p>
      <w:pPr>
        <w:spacing w:after="0"/>
        <w:ind w:firstLine="288"/>
        <w:jc w:val="both"/>
      </w:pPr>
      <w:r>
        <w:rPr>
          <w:rFonts w:ascii="Times New Roman" w:cs="Times New Roman" w:eastAsia="Times New Roman" w:hAnsi="Times New Roman"/>
          <w:sz w:val="20"/>
          <w:szCs w:val="20"/>
        </w:rPr>
        <w:t xml:space="preserve">Despite progress in both directions, few-shot learning and raw-data robustness research have developed largely in isolation — few-shot studies assume clean imagery; robustness studies assume ample labels. That clean-trained models fail on corrupted test data is itself well established in general computer vision [12], [13], and work on hyperspectral test-time adaptation has separately noted a lack of unified remote-sensing benchmarks simulating multiple degradation scenarios together [10]. Our contribution is not the general phenomenon, but quantifying how severely it manifests, and whether standard mitigation remains effective, under the specific constraints onboard AI systems face: lightweight architectures, extreme label scarcity, and a train/test gap created specifically by training on Level-1 imagery for raw-sensor deployment. This combination has not been examined in either the onboard AI literature (Section II-A) or the general corruption-robustness literature, and is the gap we address.</w:t>
      </w:r>
    </w:p>
    <w:p>
      <w:pPr>
        <w:spacing w:after="120" w:before="200"/>
        <w:jc w:val="center"/>
      </w:pPr>
      <w:r>
        <w:rPr>
          <w:rFonts w:ascii="Times New Roman" w:cs="Times New Roman" w:eastAsia="Times New Roman" w:hAnsi="Times New Roman"/>
          <w:b/>
          <w:bCs/>
          <w:sz w:val="20"/>
          <w:szCs w:val="20"/>
        </w:rPr>
        <w:t xml:space="preserve">III. Method</w:t>
      </w:r>
    </w:p>
    <w:p>
      <w:pPr>
        <w:spacing w:after="80" w:before="160"/>
      </w:pPr>
      <w:r>
        <w:rPr>
          <w:rFonts w:ascii="Times New Roman" w:cs="Times New Roman" w:eastAsia="Times New Roman" w:hAnsi="Times New Roman"/>
          <w:b/>
          <w:bCs/>
          <w:i/>
          <w:iCs/>
          <w:sz w:val="20"/>
          <w:szCs w:val="20"/>
        </w:rPr>
        <w:t xml:space="preserve">A. Dataset</w:t>
      </w:r>
    </w:p>
    <w:p>
      <w:pPr>
        <w:spacing w:after="0"/>
        <w:ind w:firstLine="288"/>
        <w:jc w:val="both"/>
      </w:pPr>
      <w:r>
        <w:rPr>
          <w:rFonts w:ascii="Times New Roman" w:cs="Times New Roman" w:eastAsia="Times New Roman" w:hAnsi="Times New Roman"/>
          <w:sz w:val="20"/>
          <w:szCs w:val="20"/>
        </w:rPr>
        <w:t xml:space="preserve">We use EuroSAT [11], a public Sentinel-2 benchmark spanning 10 land-use/land-cover classes at 64×64 pixels per patch. Its manageable size, balanced classes, and prior use in degradation benchmarks such as EuroSAT-C made it a natural fit. We used a fixed 80/20 train/test split across all conditions.</w:t>
      </w:r>
    </w:p>
    <w:p>
      <w:pPr>
        <w:spacing w:after="80" w:before="160"/>
      </w:pPr>
      <w:r>
        <w:rPr>
          <w:rFonts w:ascii="Times New Roman" w:cs="Times New Roman" w:eastAsia="Times New Roman" w:hAnsi="Times New Roman"/>
          <w:b/>
          <w:bCs/>
          <w:i/>
          <w:iCs/>
          <w:sz w:val="20"/>
          <w:szCs w:val="20"/>
        </w:rPr>
        <w:t xml:space="preserve">B. Models</w:t>
      </w:r>
    </w:p>
    <w:p>
      <w:pPr>
        <w:spacing w:after="0"/>
        <w:ind w:firstLine="288"/>
        <w:jc w:val="both"/>
      </w:pPr>
      <w:r>
        <w:rPr>
          <w:rFonts w:ascii="Times New Roman" w:cs="Times New Roman" w:eastAsia="Times New Roman" w:hAnsi="Times New Roman"/>
          <w:sz w:val="20"/>
          <w:szCs w:val="20"/>
        </w:rPr>
        <w:t xml:space="preserve">We evaluate three architectures spanning the from-scratch-to-pretrained spectrum relevant to onboard deployment, consistent with prior architecture-search work targeting on-orbit compute constraints [4]. First, a compact CNN (three convolutional blocks with max-pooling, two fully connected layers; ~550K parameters) trained from scratch with learning rate 1e-3, standard for from-scratch training. Second, MobileNetV2, initialized from ImageNet weights. Third, ViT-Tiny, also ImageNet-pretrained. Both pretrained models were fine-tuned at learning rate 1e-4 rather than 1e-3: an initial pilot at 1e-3 substantially damaged pretrained features under few-shot fine-tuning (e.g., ViT-Tiny 5-shot clean accuracy rose from 43.6% to 74.0% when corrected), so all pretrained-model results reported here use the corrected rate.</w:t>
      </w:r>
    </w:p>
    <w:p>
      <w:pPr>
        <w:spacing w:after="80" w:before="160"/>
      </w:pPr>
      <w:r>
        <w:rPr>
          <w:rFonts w:ascii="Times New Roman" w:cs="Times New Roman" w:eastAsia="Times New Roman" w:hAnsi="Times New Roman"/>
          <w:b/>
          <w:bCs/>
          <w:i/>
          <w:iCs/>
          <w:sz w:val="20"/>
          <w:szCs w:val="20"/>
        </w:rPr>
        <w:t xml:space="preserve">C. Few-Shot Sampling</w:t>
      </w:r>
    </w:p>
    <w:p>
      <w:pPr>
        <w:spacing w:after="0"/>
        <w:ind w:firstLine="288"/>
        <w:jc w:val="both"/>
      </w:pPr>
      <w:r>
        <w:rPr>
          <w:rFonts w:ascii="Times New Roman" w:cs="Times New Roman" w:eastAsia="Times New Roman" w:hAnsi="Times New Roman"/>
          <w:sz w:val="20"/>
          <w:szCs w:val="20"/>
        </w:rPr>
        <w:t xml:space="preserve">We constructed four label-availability conditions: 5, 10, and 50 examples per class, and a full-data condition (~2,400 examples per class). Examples were sampled uniformly at random per class, varied across ten seeds to account for sensitivity to which specific examples are selected.</w:t>
      </w:r>
    </w:p>
    <w:p>
      <w:pPr>
        <w:spacing w:after="80" w:before="160"/>
      </w:pPr>
      <w:r>
        <w:rPr>
          <w:rFonts w:ascii="Times New Roman" w:cs="Times New Roman" w:eastAsia="Times New Roman" w:hAnsi="Times New Roman"/>
          <w:b/>
          <w:bCs/>
          <w:i/>
          <w:iCs/>
          <w:sz w:val="20"/>
          <w:szCs w:val="20"/>
        </w:rPr>
        <w:t xml:space="preserve">D. Degradation Simulation, Decoupling, and Mitigation Design</w:t>
      </w:r>
    </w:p>
    <w:p>
      <w:pPr>
        <w:spacing w:after="0"/>
        <w:ind w:firstLine="288"/>
        <w:jc w:val="both"/>
      </w:pPr>
      <w:r>
        <w:rPr>
          <w:rFonts w:ascii="Times New Roman" w:cs="Times New Roman" w:eastAsia="Times New Roman" w:hAnsi="Times New Roman"/>
          <w:sz w:val="20"/>
          <w:szCs w:val="20"/>
        </w:rPr>
        <w:t xml:space="preserve">We applied degradation at three severities — none, moderate, severe — via additive Gaussian noise (σ = 0.03/0.08) combined with bit-depth quantization (6-bit/4-bit). Our main grid (Table I) matches train and test degradation within each condition, following standard practice in the few-shot and robustness literature (Section II). To test whether this matched design obscures a train/test mismatch risk, and whether that risk is fixable, we ran an expanded ablation (5-shot and full-data, 10 seeds, all three architectures): each model was trained under one of four conditions — none, moderate, severe, or mixed — and evaluated under all three test-degradation levels. The mixed condition assigns each training image a randomly selected degradation level (none, moderate, or severe) every time it is loaded, simulating training on a realistic mix of conditions as a candidate mitigation for train/test mismatch.</w:t>
      </w:r>
    </w:p>
    <w:p>
      <w:pPr>
        <w:spacing w:after="80" w:before="160"/>
      </w:pPr>
      <w:r>
        <w:rPr>
          <w:rFonts w:ascii="Times New Roman" w:cs="Times New Roman" w:eastAsia="Times New Roman" w:hAnsi="Times New Roman"/>
          <w:b/>
          <w:bCs/>
          <w:i/>
          <w:iCs/>
          <w:sz w:val="20"/>
          <w:szCs w:val="20"/>
        </w:rPr>
        <w:t xml:space="preserve">E. Training and Evaluation</w:t>
      </w:r>
    </w:p>
    <w:p>
      <w:pPr>
        <w:spacing w:after="0"/>
        <w:ind w:firstLine="288"/>
        <w:jc w:val="both"/>
      </w:pPr>
      <w:r>
        <w:rPr>
          <w:rFonts w:ascii="Times New Roman" w:cs="Times New Roman" w:eastAsia="Times New Roman" w:hAnsi="Times New Roman"/>
          <w:sz w:val="20"/>
          <w:szCs w:val="20"/>
        </w:rPr>
        <w:t xml:space="preserve">Models were trained with Adam and cross-entropy loss, with epochs scaled by label count (50/50/30/15 for 5-/10-/50-shot/full-data). The main grid (twelve label-count × degradation conditions per model) used 10 seeds (360 total runs); the mismatch/mitigation ablation used 10 seeds across 2 shot levels × 4 train-degradation conditions per model, each evaluated on 3 test-degradation levels (720 data points). We report accuracy and macro F1 (mean ± std across seeds). For the main grid, we applied a Mann-Whitney U test (Bonferroni-corrected across 12 comparisons, α ≈ 0.0042) and a targeted bootstrap contrast (20,000 resamples) testing the scarcity×degradation interaction. For the mismatch/mitigation ablation, we applied Mann-Whitney U tests (Bonferroni-corrected across 6 comparisons, α ≈ 0.0083) comparing matched-severe vs. mismatch, and mixed-trained vs. mismatch.</w:t>
      </w:r>
    </w:p>
    <w:p>
      <w:pPr>
        <w:spacing w:after="80" w:before="160"/>
      </w:pPr>
      <w:r>
        <w:rPr>
          <w:rFonts w:ascii="Times New Roman" w:cs="Times New Roman" w:eastAsia="Times New Roman" w:hAnsi="Times New Roman"/>
          <w:b/>
          <w:bCs/>
          <w:i/>
          <w:iCs/>
          <w:sz w:val="20"/>
          <w:szCs w:val="20"/>
        </w:rPr>
        <w:t xml:space="preserve">F. Reproducibility</w:t>
      </w:r>
    </w:p>
    <w:p>
      <w:pPr>
        <w:spacing w:after="0"/>
        <w:ind w:firstLine="288"/>
        <w:jc w:val="both"/>
      </w:pPr>
      <w:r>
        <w:rPr>
          <w:rFonts w:ascii="Times New Roman" w:cs="Times New Roman" w:eastAsia="Times New Roman" w:hAnsi="Times New Roman"/>
          <w:sz w:val="20"/>
          <w:szCs w:val="20"/>
        </w:rPr>
        <w:t xml:space="preserve">Experiments used PyTorch 2.11.0, timm 1.0.28, and scikit-learn 1.6.1, trained on Google Colab (mixed NVIDIA T4 GPU/CPU). Code and results are available at the repository linked in the Data Availability statement.</w:t>
      </w:r>
    </w:p>
    <w:p>
      <w:pPr>
        <w:sectPr>
          <w:type w:val="continuous"/>
          <w:pgSz w:w="12240" w:h="15840" w:orient="portrait"/>
          <w:pgMar w:top="1080" w:right="900" w:bottom="1080" w:left="900" w:header="708" w:footer="708" w:gutter="0"/>
          <w:pgNumType/>
          <w:cols w:space="288" w:num="2"/>
          <w:docGrid w:linePitch="360"/>
        </w:sectPr>
      </w:pPr>
    </w:p>
    <w:p>
      <w:pPr>
        <w:spacing w:after="100" w:before="100"/>
        <w:jc w:val="center"/>
      </w:pPr>
      <w:r>
        <w:drawing>
          <wp:inline distT="0" distB="0" distL="0" distR="0">
            <wp:extent cx="4762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2002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1. Accuracy under clean, matched-severe, mismatch, and mixed-trained (fix) conditions, by architecture and label count (error bars: ± 1 std, 10 seeds). Mixed training closes most of the mismatch-induced gap.</w:t>
      </w:r>
    </w:p>
    <w:p>
      <w:pPr>
        <w:spacing w:after="80" w:before="200"/>
        <w:jc w:val="center"/>
      </w:pPr>
      <w:r>
        <w:rPr>
          <w:rFonts w:ascii="Times New Roman" w:cs="Times New Roman" w:eastAsia="Times New Roman" w:hAnsi="Times New Roman"/>
          <w:b/>
          <w:bCs/>
          <w:sz w:val="18"/>
          <w:szCs w:val="18"/>
        </w:rPr>
        <w:t xml:space="preserve">TABLE II</w:t>
      </w:r>
    </w:p>
    <w:p>
      <w:pPr>
        <w:spacing w:after="120"/>
        <w:jc w:val="center"/>
      </w:pPr>
      <w:r>
        <w:rPr>
          <w:rFonts w:ascii="Times New Roman" w:cs="Times New Roman" w:eastAsia="Times New Roman" w:hAnsi="Times New Roman"/>
          <w:b/>
          <w:bCs/>
          <w:sz w:val="18"/>
          <w:szCs w:val="18"/>
        </w:rPr>
        <w:t xml:space="preserve">TRAIN/TEST DEGRADATION MISMATCH AND MITIGATION ABLATION (%, 10 SEEDS)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300"/>
        <w:gridCol w:w="1600"/>
        <w:gridCol w:w="1500"/>
        <w:gridCol w:w="1500"/>
      </w:tblGrid>
      <w:tr>
        <w:tc>
          <w:tcPr>
            <w:tcW w:type="dxa" w:w="19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10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Shots</w:t>
            </w:r>
          </w:p>
        </w:tc>
        <w:tc>
          <w:tcPr>
            <w:tcW w:type="dxa" w:w="13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Clean (%)</w:t>
            </w:r>
          </w:p>
        </w:tc>
        <w:tc>
          <w:tcPr>
            <w:tcW w:type="dxa" w:w="16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Matched-
severe (%)</w:t>
            </w:r>
          </w:p>
        </w:tc>
        <w:tc>
          <w:tcPr>
            <w:tcW w:type="dxa" w:w="15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Mismatch (%)
train=clean</w:t>
            </w:r>
          </w:p>
        </w:tc>
        <w:tc>
          <w:tcPr>
            <w:tcW w:type="dxa" w:w="15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Mixed-
trained (%)</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SimpleCNN</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29.3</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27.8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23.1†</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28.0</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SimpleCNN</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Full</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83.5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79.8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24.1**</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79.7</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MobileNetV2</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49.0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58.5</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10.4**</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55.7</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MobileNetV2</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Full</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97.7</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96.6</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10.9**</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95.9</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ViT-Tiny</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74.0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62.1</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37.6**</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64.2</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ViT-Tiny</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Full</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97.5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96.8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26.1**</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96.1</w:t>
            </w:r>
          </w:p>
        </w:tc>
      </w:tr>
    </w:tbl>
    <w:p>
      <w:pPr>
        <w:spacing w:after="200" w:before="100"/>
      </w:pPr>
      <w:r>
        <w:rPr>
          <w:rFonts w:ascii="Times New Roman" w:cs="Times New Roman" w:eastAsia="Times New Roman" w:hAnsi="Times New Roman"/>
          <w:i/>
          <w:iCs/>
          <w:sz w:val="16"/>
          <w:szCs w:val="16"/>
        </w:rPr>
        <w:t xml:space="preserve">**p &lt; 0.05 after Bonferroni correction (α = 0.05/6 ≈ 0.0083), matched-severe vs. mismatch. †p &lt; 0.05 uncorrected only. Mixed-trained vs. mismatch improvement significant (p &lt; 0.05) for all six conditions.</w:t>
      </w:r>
    </w:p>
    <w:p>
      <w:pPr>
        <w:spacing w:after="80" w:before="160"/>
        <w:jc w:val="center"/>
      </w:pPr>
      <w:r>
        <w:rPr>
          <w:rFonts w:ascii="Times New Roman" w:cs="Times New Roman" w:eastAsia="Times New Roman" w:hAnsi="Times New Roman"/>
          <w:b/>
          <w:bCs/>
          <w:sz w:val="18"/>
          <w:szCs w:val="18"/>
        </w:rPr>
        <w:t xml:space="preserve">TABLE I</w:t>
      </w:r>
    </w:p>
    <w:p>
      <w:pPr>
        <w:spacing w:after="120"/>
        <w:jc w:val="center"/>
      </w:pPr>
      <w:r>
        <w:rPr>
          <w:rFonts w:ascii="Times New Roman" w:cs="Times New Roman" w:eastAsia="Times New Roman" w:hAnsi="Times New Roman"/>
          <w:b/>
          <w:bCs/>
          <w:sz w:val="18"/>
          <w:szCs w:val="18"/>
        </w:rPr>
        <w:t xml:space="preserve">MEAN ACCURACY UNDER MATCHED TRAIN/TEST DEGRADATION (%, ± STD, 10 SEEDS)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900"/>
        <w:gridCol w:w="1900"/>
        <w:gridCol w:w="1900"/>
      </w:tblGrid>
      <w:tr>
        <w:tc>
          <w:tcPr>
            <w:tcW w:type="dxa" w:w="26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14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Shots</w:t>
            </w:r>
          </w:p>
        </w:tc>
        <w:tc>
          <w:tcPr>
            <w:tcW w:type="dxa" w:w="19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None (%)</w:t>
            </w:r>
          </w:p>
        </w:tc>
        <w:tc>
          <w:tcPr>
            <w:tcW w:type="dxa" w:w="19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Moderate (%)</w:t>
            </w:r>
          </w:p>
        </w:tc>
        <w:tc>
          <w:tcPr>
            <w:tcW w:type="dxa" w:w="1900"/>
            <w:shd w:fill="1F4E7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Severe (%)</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SimpleCNN</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29.6±3.0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28.1±2.7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27.8±2.2</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SimpleCNN</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34.1±3.3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35.5±2.7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32.7±2.2</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SimpleCNN</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54.7±2.4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53.5±2.7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49.5±4.3**</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SimpleCNN</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Full</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83.7±2.4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82.7±0.8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79.7±0.9**</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MobileNetV2</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49.0±2.7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61.0±1.2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58.5±1.2**</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MobileNetV2</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64.8±1.8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70.2±1.5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65.5±1.8</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MobileNetV2</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85.3±0.6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86.9±0.6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81.8±0.7**</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MobileNetV2</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Full</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97.7±0.2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97.5±0.3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96.6±0.2**</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ViT-Tiny</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74.0±2.1</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71.8±2.6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62.1±3.5**</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ViT-Tiny</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82.6±1.9</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81.5±1.7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69.2±4.3**</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ViT-Tiny</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93.4±0.7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92.4±0.7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85.2±2.8**</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ViT-Tiny</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Full</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97.5±0.7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97.4±0.5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96.7±0.7*</w:t>
            </w:r>
          </w:p>
        </w:tc>
      </w:tr>
    </w:tbl>
    <w:p>
      <w:pPr>
        <w:spacing w:after="200" w:before="100"/>
      </w:pPr>
      <w:r>
        <w:rPr>
          <w:rFonts w:ascii="Times New Roman" w:cs="Times New Roman" w:eastAsia="Times New Roman" w:hAnsi="Times New Roman"/>
          <w:i/>
          <w:iCs/>
          <w:sz w:val="16"/>
          <w:szCs w:val="16"/>
        </w:rPr>
        <w:t xml:space="preserve">**p &lt; 0.05 after Bonferroni correction (α = 0.05/12 ≈ 0.0042). *p &lt; 0.05 uncorrected only.</w:t>
      </w:r>
    </w:p>
    <w:p>
      <w:pPr>
        <w:sectPr>
          <w:type w:val="continuous"/>
          <w:pgSz w:w="12240" w:h="15840" w:orient="portrait"/>
          <w:pgMar w:top="1080" w:right="900" w:bottom="1080" w:left="900" w:header="708" w:footer="708" w:gutter="0"/>
          <w:pgNumType/>
          <w:cols w:space="288" w:num="1"/>
          <w:docGrid w:linePitch="360"/>
        </w:sectPr>
      </w:pPr>
    </w:p>
    <w:p>
      <w:pPr>
        <w:spacing w:after="120" w:before="200"/>
        <w:jc w:val="center"/>
      </w:pPr>
      <w:r>
        <w:rPr>
          <w:rFonts w:ascii="Times New Roman" w:cs="Times New Roman" w:eastAsia="Times New Roman" w:hAnsi="Times New Roman"/>
          <w:b/>
          <w:bCs/>
          <w:sz w:val="20"/>
          <w:szCs w:val="20"/>
        </w:rPr>
        <w:t xml:space="preserve">IV. Results</w:t>
      </w:r>
    </w:p>
    <w:p>
      <w:pPr>
        <w:spacing w:after="80" w:before="160"/>
      </w:pPr>
      <w:r>
        <w:rPr>
          <w:rFonts w:ascii="Times New Roman" w:cs="Times New Roman" w:eastAsia="Times New Roman" w:hAnsi="Times New Roman"/>
          <w:b/>
          <w:bCs/>
          <w:i/>
          <w:iCs/>
          <w:sz w:val="20"/>
          <w:szCs w:val="20"/>
        </w:rPr>
        <w:t xml:space="preserve">A. Train/Test Degradation Mismatch (Primary Result)</w:t>
      </w:r>
    </w:p>
    <w:p>
      <w:pPr>
        <w:spacing w:after="0"/>
        <w:ind w:firstLine="288"/>
        <w:jc w:val="both"/>
      </w:pPr>
      <w:r>
        <w:rPr>
          <w:rFonts w:ascii="Times New Roman" w:cs="Times New Roman" w:eastAsia="Times New Roman" w:hAnsi="Times New Roman"/>
          <w:sz w:val="20"/>
          <w:szCs w:val="20"/>
        </w:rPr>
        <w:t xml:space="preserve">Our main grid, like prior work, matched train and test degradation within each condition. Table I shows this matched design is highly robust: even severe degradation costs at most a few accuracy points when the model is trained under the same conditions it is evaluated on. Our decoupling ablation breaks this assumption. The result is stark (Fig. 1, Table II): a model trained on clean imagery and evaluated on severely degraded imagery loses 53–89% of its accuracy relative to clean performance, collapsing toward random-chance levels regardless of architecture or label count. With 10 seeds, this mismatch effect is now significant after Bonferroni correction (α ≈ 0.0083) for 5 of 6 tested conditions (all except SimpleCNN at 5-shot, p = 0.026, which trends the same direction but did not survive correction — likely because both matched and mismatch accuracy are already low at 5-shot, leaving little separating signal). We additionally tested whether this risk builds gradually or is a threshold effect, varying train-degradation severity while holding test-degradation at severe: MobileNetV2 shows an all-or-nothing cliff (10.9%→16.9%→96.6% for none→moderate→severe training), where partial alignment barely helps, while SimpleCNN and ViT-Tiny degrade more gradually (e.g., ViT-Tiny: 26.1%→77.6%→96.8%).</w:t>
      </w:r>
    </w:p>
    <w:p>
      <w:pPr>
        <w:spacing w:after="80" w:before="160"/>
      </w:pPr>
      <w:r>
        <w:rPr>
          <w:rFonts w:ascii="Times New Roman" w:cs="Times New Roman" w:eastAsia="Times New Roman" w:hAnsi="Times New Roman"/>
          <w:b/>
          <w:bCs/>
          <w:i/>
          <w:iCs/>
          <w:sz w:val="20"/>
          <w:szCs w:val="20"/>
        </w:rPr>
        <w:t xml:space="preserve">B. Mitigation: Randomized-Degradation Training (Co-Primary Result)</w:t>
      </w:r>
    </w:p>
    <w:p>
      <w:pPr>
        <w:spacing w:after="0"/>
        <w:ind w:firstLine="288"/>
        <w:jc w:val="both"/>
      </w:pPr>
      <w:r>
        <w:rPr>
          <w:rFonts w:ascii="Times New Roman" w:cs="Times New Roman" w:eastAsia="Times New Roman" w:hAnsi="Times New Roman"/>
          <w:sz w:val="20"/>
          <w:szCs w:val="20"/>
        </w:rPr>
        <w:t xml:space="preserve">Given the severity of the mismatch risk, we tested a simple, low-cost mitigation: assigning each training image a randomly selected degradation level (none, moderate, or severe) every time it is loaded ("mixed" training), then evaluating on severely degraded test data. This closes most of the mismatch-induced gap (Fig. 1, Table II): MobileNetV2 recovers from 10.9% (mismatch) to 95.9% (mixed-trained) at full-data — within 0.7 points of matched-condition performance (96.6%); ViT-Tiny recovers from 26.1% to 96.1% (vs. 96.8% matched); SimpleCNN recovers from 24.1% to 79.7% (vs. 79.8% matched). All six model×shot improvements are statistically significant (Mann-Whitney U, mixed-trained vs. mismatch, p &lt; 0.001 in five of six conditions, p = 0.038 for SimpleCNN at 5-shot). This suggests that randomizing degradation during training — a change requiring no architecture modification and minimal additional compute — is a practical, effective mitigation for the mismatch risk identified in Section IV-A.</w:t>
      </w:r>
    </w:p>
    <w:p>
      <w:pPr>
        <w:spacing w:after="80" w:before="160"/>
      </w:pPr>
      <w:r>
        <w:rPr>
          <w:rFonts w:ascii="Times New Roman" w:cs="Times New Roman" w:eastAsia="Times New Roman" w:hAnsi="Times New Roman"/>
          <w:b/>
          <w:bCs/>
          <w:i/>
          <w:iCs/>
          <w:sz w:val="20"/>
          <w:szCs w:val="20"/>
        </w:rPr>
        <w:t xml:space="preserve">C. Architecture-Dependent Scarcity×Degradation Interaction (Secondary Result)</w:t>
      </w:r>
    </w:p>
    <w:p>
      <w:pPr>
        <w:spacing w:after="0"/>
        <w:ind w:firstLine="288"/>
        <w:jc w:val="both"/>
      </w:pPr>
      <w:r>
        <w:rPr>
          <w:rFonts w:ascii="Times New Roman" w:cs="Times New Roman" w:eastAsia="Times New Roman" w:hAnsi="Times New Roman"/>
          <w:sz w:val="20"/>
          <w:szCs w:val="20"/>
        </w:rPr>
        <w:t xml:space="preserve">Within the matched-condition grid, a targeted bootstrap contrast (Section III-E) tested whether degradation's cost under matched conditions depends on label availability. Results diverge by architecture: ViT-Tiny shows a significant compounding pattern (p &lt; 0.0001) — degradation costs 16.1% relative accuracy at 5-shot but only 0.8% at full-data. MobileNetV2 shows a significant pattern in the opposite direction (p &lt; 0.0001), driven by degradation appearing to improve 5-shot accuracy (49.0%→58.5%), consistent with noise acting as implicit regularization under extreme scarcity. SimpleCNN showed no reliable interaction (p = 0.091). Table I reports full results.</w:t>
      </w:r>
    </w:p>
    <w:p>
      <w:pPr>
        <w:spacing w:after="120" w:before="200"/>
        <w:jc w:val="center"/>
      </w:pPr>
      <w:r>
        <w:rPr>
          <w:rFonts w:ascii="Times New Roman" w:cs="Times New Roman" w:eastAsia="Times New Roman" w:hAnsi="Times New Roman"/>
          <w:b/>
          <w:bCs/>
          <w:sz w:val="20"/>
          <w:szCs w:val="20"/>
        </w:rPr>
        <w:t xml:space="preserve">V. Discussion</w:t>
      </w:r>
    </w:p>
    <w:p>
      <w:pPr>
        <w:spacing w:after="0"/>
        <w:ind w:firstLine="288"/>
        <w:jc w:val="both"/>
      </w:pPr>
      <w:r>
        <w:rPr>
          <w:rFonts w:ascii="Times New Roman" w:cs="Times New Roman" w:eastAsia="Times New Roman" w:hAnsi="Times New Roman"/>
          <w:sz w:val="20"/>
          <w:szCs w:val="20"/>
        </w:rPr>
        <w:t xml:space="preserve">Our findings connect a well-documented general phenomenon to a setting where it has not been quantified. Standard onboard AI development trains on calibrated, ground-corrected Level-1 imagery [7], while deployment involves raw, uncorrected sensor output the model never saw during training — precisely the train/test mismatch shown to degrade corruption robustness in general computer vision [12]. Our decoupling ablation shows this mismatch, not degradation severity itself, drives catastrophic failure here too: 53–89% relative accuracy loss versus a few percent under matched conditions, consistently across architecture and label count — a magnitude worth establishing given onboard AI's added constraints of lightweight architectures and severe label scarcity, neither typical of the general robustness literature. Critically, a standard mitigation from that literature — noise-augmented training [13] — remains effective despite these constraints, recovering accuracy to within a few points of matched-condition performance for all three architectures. This combination — establishing the magnitude of a known risk in a new, practically important setting, and confirming a known mitigation still works there — is the contribution of this work, and suggests degradation-randomized training should be treated as a default design practice for onboard AI given its low cost and demonstrated effectiveness under these constraints.</w:t>
      </w:r>
    </w:p>
    <w:p>
      <w:pPr>
        <w:spacing w:after="0"/>
        <w:ind w:firstLine="288"/>
        <w:jc w:val="both"/>
      </w:pPr>
      <w:r>
        <w:rPr>
          <w:rFonts w:ascii="Times New Roman" w:cs="Times New Roman" w:eastAsia="Times New Roman" w:hAnsi="Times New Roman"/>
          <w:sz w:val="20"/>
          <w:szCs w:val="20"/>
        </w:rPr>
        <w:t xml:space="preserve">The severity-gradient results add a practical nuance: MobileNetV2's all-or-nothing sensitivity (partial train/test alignment barely helps) versus SimpleCNN's and ViT-Tiny's more gradual degradation suggests architecture choice affects how forgiving a system is of imperfect degradation modeling, even though mixed training resolves the risk for all three. Our secondary result — that the scarcity×degradation interaction under matched conditions is architecture-dependent (Section IV-C) — further underscores that no single robustness property can be assumed to transfer across architectures, reinforcing why an empirically validated, architecture-agnostic mitigation like mixed training is valuable.</w:t>
      </w:r>
    </w:p>
    <w:p>
      <w:pPr>
        <w:spacing w:after="80" w:before="160"/>
      </w:pPr>
      <w:r>
        <w:rPr>
          <w:rFonts w:ascii="Times New Roman" w:cs="Times New Roman" w:eastAsia="Times New Roman" w:hAnsi="Times New Roman"/>
          <w:b/>
          <w:bCs/>
          <w:i/>
          <w:iCs/>
          <w:sz w:val="20"/>
          <w:szCs w:val="20"/>
        </w:rPr>
        <w:t xml:space="preserve">Limitations</w:t>
      </w:r>
    </w:p>
    <w:p>
      <w:pPr>
        <w:spacing w:after="0"/>
        <w:ind w:firstLine="288"/>
        <w:jc w:val="both"/>
      </w:pPr>
      <w:r>
        <w:rPr>
          <w:rFonts w:ascii="Times New Roman" w:cs="Times New Roman" w:eastAsia="Times New Roman" w:hAnsi="Times New Roman"/>
          <w:sz w:val="20"/>
          <w:szCs w:val="20"/>
        </w:rPr>
        <w:t xml:space="preserve">Our degradation simulation (Gaussian noise, bit-depth reduction) approximates but does not fully capture real raw-sensor characteristics, notably omitting atmospheric-correction loss; validating the mismatch and mitigation findings on genuinely raw sensor data is an important next step. We tested a single dataset (EuroSAT) and did not compare mixed training against alternative domain-adaptation techniques, which may offer complementary or superior mitigation.</w:t>
      </w:r>
    </w:p>
    <w:p>
      <w:pPr>
        <w:spacing w:after="120" w:before="200"/>
        <w:jc w:val="center"/>
      </w:pPr>
      <w:r>
        <w:rPr>
          <w:rFonts w:ascii="Times New Roman" w:cs="Times New Roman" w:eastAsia="Times New Roman" w:hAnsi="Times New Roman"/>
          <w:b/>
          <w:bCs/>
          <w:sz w:val="20"/>
          <w:szCs w:val="20"/>
        </w:rPr>
        <w:t xml:space="preserve">VI. Conclusion</w:t>
      </w:r>
    </w:p>
    <w:p>
      <w:pPr>
        <w:spacing w:after="0"/>
        <w:ind w:firstLine="288"/>
        <w:jc w:val="both"/>
      </w:pPr>
      <w:r>
        <w:rPr>
          <w:rFonts w:ascii="Times New Roman" w:cs="Times New Roman" w:eastAsia="Times New Roman" w:hAnsi="Times New Roman"/>
          <w:sz w:val="20"/>
          <w:szCs w:val="20"/>
        </w:rPr>
        <w:t xml:space="preserve">We set out to understand how label scarcity and raw-sensor degradation affect onboard satellite image classification, and found that a well-documented general robustness risk — train/test degradation mismatch [12] — is severe in this specific, previously unquantified setting: 53–89% relative accuracy loss and collapse toward random chance, regardless of architecture or label count (significant for 5 of 6 tested conditions, n=10 seeds, Bonferroni-corrected). We further confirmed that a standard mitigation from the corruption-robustness literature [13] — training with a randomized degradation level per image — remains effective despite constraints atypical of that literature (lightweight architectures, extreme label scarcity), closing most of this gap across all three architectures tested (p &lt; 0.001 in 5 of 6 conditions), with no architecture modification required.</w:t>
      </w:r>
    </w:p>
    <w:p>
      <w:pPr>
        <w:spacing w:after="0"/>
        <w:ind w:firstLine="288"/>
        <w:jc w:val="both"/>
      </w:pPr>
      <w:r>
        <w:rPr>
          <w:rFonts w:ascii="Times New Roman" w:cs="Times New Roman" w:eastAsia="Times New Roman" w:hAnsi="Times New Roman"/>
          <w:sz w:val="20"/>
          <w:szCs w:val="20"/>
        </w:rPr>
        <w:t xml:space="preserve">Together, these results indicate onboard AI development should prioritize degradation-randomized training as a default practice, rather than treating robustness as secondary to architecture selection or label-budget optimization. A secondary finding — that the scarcity×degradation interaction under matched conditions is architecture-dependent — reinforces that architecture-specific robustness properties should not be assumed to generalize, further motivating a validated, architecture-agnostic fix. Future work should validate these findings on real raw sensor data, compare mixed training against formal domain-adaptation methods, and extend the mismatch/mitigation analysis to additional onboard tasks such as ship detection or cloud masking.</w:t>
      </w:r>
    </w:p>
    <w:p>
      <w:pPr>
        <w:spacing w:after="120" w:before="200"/>
        <w:jc w:val="center"/>
      </w:pPr>
      <w:r>
        <w:rPr>
          <w:rFonts w:ascii="Times New Roman" w:cs="Times New Roman" w:eastAsia="Times New Roman" w:hAnsi="Times New Roman"/>
          <w:b/>
          <w:bCs/>
          <w:sz w:val="20"/>
          <w:szCs w:val="20"/>
        </w:rPr>
        <w:t xml:space="preserve">Data Availability</w:t>
      </w:r>
    </w:p>
    <w:p>
      <w:pPr>
        <w:spacing w:after="0"/>
        <w:jc w:val="both"/>
      </w:pPr>
      <w:r>
        <w:rPr>
          <w:rFonts w:ascii="Times New Roman" w:cs="Times New Roman" w:eastAsia="Times New Roman" w:hAnsi="Times New Roman"/>
          <w:sz w:val="20"/>
          <w:szCs w:val="20"/>
        </w:rPr>
        <w:t xml:space="preserve">Code and the full raw results dataset (360 main-grid runs; 720 mismatch/mitigation ablation data points) are available at: https://github.com/tarajitpattanakul-commits/sat-degration-fewshot.</w:t>
      </w:r>
    </w:p>
    <w:p>
      <w:pPr>
        <w:spacing w:after="120" w:before="200"/>
        <w:jc w:val="center"/>
      </w:pPr>
      <w:r>
        <w:rPr>
          <w:rFonts w:ascii="Times New Roman" w:cs="Times New Roman" w:eastAsia="Times New Roman" w:hAnsi="Times New Roman"/>
          <w:b/>
          <w:bCs/>
          <w:sz w:val="20"/>
          <w:szCs w:val="20"/>
        </w:rPr>
        <w:t xml:space="preserve">References</w:t>
      </w:r>
    </w:p>
    <w:p>
      <w:pPr>
        <w:tabs>
          <w:tab w:val="left" w:pos="260"/>
        </w:tabs>
        <w:spacing w:after="60"/>
        <w:ind w:left="260" w:hanging="260"/>
        <w:jc w:val="both"/>
      </w:pPr>
      <w:r>
        <w:rPr>
          <w:rFonts w:ascii="Times New Roman" w:cs="Times New Roman" w:eastAsia="Times New Roman" w:hAnsi="Times New Roman"/>
          <w:sz w:val="18"/>
          <w:szCs w:val="18"/>
        </w:rPr>
        <w:t xml:space="preserve">[1]	R. Shendy and J. Nalepa, "Few-shot satellite image classification for bringing deep learning on board OPS-SAT," Expert Systems with Applications, vol. 251, art. no. 123984, 2024.</w:t>
      </w:r>
    </w:p>
    <w:p>
      <w:pPr>
        <w:tabs>
          <w:tab w:val="left" w:pos="260"/>
        </w:tabs>
        <w:spacing w:after="60"/>
        <w:ind w:left="260" w:hanging="260"/>
        <w:jc w:val="both"/>
      </w:pPr>
      <w:r>
        <w:rPr>
          <w:rFonts w:ascii="Times New Roman" w:cs="Times New Roman" w:eastAsia="Times New Roman" w:hAnsi="Times New Roman"/>
          <w:sz w:val="18"/>
          <w:szCs w:val="18"/>
        </w:rPr>
        <w:t xml:space="preserve">[2]	L. Fang, T. Li, Y. Lin, S. Zhou, and W. Yao, "AI-enabled satellite edge computing: A single-pixel feature based shallow classification model for hyperspectral imaging," arXiv:2601.18560, 2026.</w:t>
      </w:r>
    </w:p>
    <w:p>
      <w:pPr>
        <w:tabs>
          <w:tab w:val="left" w:pos="260"/>
        </w:tabs>
        <w:spacing w:after="60"/>
        <w:ind w:left="260" w:hanging="260"/>
        <w:jc w:val="both"/>
      </w:pPr>
      <w:r>
        <w:rPr>
          <w:rFonts w:ascii="Times New Roman" w:cs="Times New Roman" w:eastAsia="Times New Roman" w:hAnsi="Times New Roman"/>
          <w:sz w:val="18"/>
          <w:szCs w:val="18"/>
        </w:rPr>
        <w:t xml:space="preserve">[3]	A. Dorise, M. Bellizzi, and O. Hlimi, "Rethinking satellite image restoration for onboard AI: A lightweight learning-based approach," arXiv:2604.12807, 2026.</w:t>
      </w:r>
    </w:p>
    <w:p>
      <w:pPr>
        <w:tabs>
          <w:tab w:val="left" w:pos="260"/>
        </w:tabs>
        <w:spacing w:after="60"/>
        <w:ind w:left="260" w:hanging="260"/>
        <w:jc w:val="both"/>
      </w:pPr>
      <w:r>
        <w:rPr>
          <w:rFonts w:ascii="Times New Roman" w:cs="Times New Roman" w:eastAsia="Times New Roman" w:hAnsi="Times New Roman"/>
          <w:sz w:val="18"/>
          <w:szCs w:val="18"/>
        </w:rPr>
        <w:t xml:space="preserve">[4]	R. Del Prete, P. K. Thind, A. Mazzeo, M. Whitley, L. Papa, N. Longépé, and G. Meoni, "Optimizing deep learning models for on-orbit deployment through neural architecture search," Scientific Reports, vol. 15, art. no. 37783, 2025.</w:t>
      </w:r>
    </w:p>
    <w:p>
      <w:pPr>
        <w:tabs>
          <w:tab w:val="left" w:pos="260"/>
        </w:tabs>
        <w:spacing w:after="60"/>
        <w:ind w:left="260" w:hanging="260"/>
        <w:jc w:val="both"/>
      </w:pPr>
      <w:r>
        <w:rPr>
          <w:rFonts w:ascii="Times New Roman" w:cs="Times New Roman" w:eastAsia="Times New Roman" w:hAnsi="Times New Roman"/>
          <w:sz w:val="18"/>
          <w:szCs w:val="18"/>
        </w:rPr>
        <w:t xml:space="preserve">[5]	V. Růžička, G. Mateo-García, C. Bridges, C. Brunskill, C. Purcell, N. Longépé, and A. Markham, "Fast model inference and training on-board of satellites," in Proc. IEEE Int. Geoscience and Remote Sensing Symp. (IGARSS), 2023.</w:t>
      </w:r>
    </w:p>
    <w:p>
      <w:pPr>
        <w:tabs>
          <w:tab w:val="left" w:pos="260"/>
        </w:tabs>
        <w:spacing w:after="60"/>
        <w:ind w:left="260" w:hanging="260"/>
        <w:jc w:val="both"/>
      </w:pPr>
      <w:r>
        <w:rPr>
          <w:rFonts w:ascii="Times New Roman" w:cs="Times New Roman" w:eastAsia="Times New Roman" w:hAnsi="Times New Roman"/>
          <w:sz w:val="18"/>
          <w:szCs w:val="18"/>
        </w:rPr>
        <w:t xml:space="preserve">[6]	D. Izzo, G. Meoni, P. Gómez, D. Dold, and A. Zoechbauer, "Selected trends in artificial intelligence for space applications," arXiv:2212.06662, 2022.</w:t>
      </w:r>
    </w:p>
    <w:p>
      <w:pPr>
        <w:tabs>
          <w:tab w:val="left" w:pos="260"/>
        </w:tabs>
        <w:spacing w:after="60"/>
        <w:ind w:left="260" w:hanging="260"/>
        <w:jc w:val="both"/>
      </w:pPr>
      <w:r>
        <w:rPr>
          <w:rFonts w:ascii="Times New Roman" w:cs="Times New Roman" w:eastAsia="Times New Roman" w:hAnsi="Times New Roman"/>
          <w:sz w:val="18"/>
          <w:szCs w:val="18"/>
        </w:rPr>
        <w:t xml:space="preserve">[7]	A. Dorise, M. Bellizzi, A. Girard, B. Francesconi, and S. May, "Explaining raw data complexity to improve satellite onboard processing," arXiv:2510.06858, 2025.</w:t>
      </w:r>
    </w:p>
    <w:p>
      <w:pPr>
        <w:tabs>
          <w:tab w:val="left" w:pos="260"/>
        </w:tabs>
        <w:spacing w:after="60"/>
        <w:ind w:left="260" w:hanging="260"/>
        <w:jc w:val="both"/>
      </w:pPr>
      <w:r>
        <w:rPr>
          <w:rFonts w:ascii="Times New Roman" w:cs="Times New Roman" w:eastAsia="Times New Roman" w:hAnsi="Times New Roman"/>
          <w:sz w:val="18"/>
          <w:szCs w:val="18"/>
        </w:rPr>
        <w:t xml:space="preserve">[8]	F. Gabetni, A. Rocchi Henry, N. Belkhir, Z. Liu, and G. Franchi, "From local geometry to global pseudo labeling for robust positive unlabeled learning under covariate shift," arXiv:2605.31187, 2026.</w:t>
      </w:r>
    </w:p>
    <w:p>
      <w:pPr>
        <w:tabs>
          <w:tab w:val="left" w:pos="260"/>
        </w:tabs>
        <w:spacing w:after="60"/>
        <w:ind w:left="260" w:hanging="260"/>
        <w:jc w:val="both"/>
      </w:pPr>
      <w:r>
        <w:rPr>
          <w:rFonts w:ascii="Times New Roman" w:cs="Times New Roman" w:eastAsia="Times New Roman" w:hAnsi="Times New Roman"/>
          <w:sz w:val="18"/>
          <w:szCs w:val="18"/>
        </w:rPr>
        <w:t xml:space="preserve">[9]	M. M. Alam, M. Gazuruddin, N. Ahmed, A. Motaleb, M. Rana, R. R. Shishir, S. Yeasmin, and R. M. Rahman, "Classification of Deep-SAT images under label noise," Applied Artificial Intelligence, vol. 35, no. 14, pp. 1196–1218, 2021.</w:t>
      </w:r>
    </w:p>
    <w:p>
      <w:pPr>
        <w:tabs>
          <w:tab w:val="left" w:pos="260"/>
        </w:tabs>
        <w:spacing w:after="60"/>
        <w:ind w:left="260" w:hanging="260"/>
        <w:jc w:val="both"/>
      </w:pPr>
      <w:r>
        <w:rPr>
          <w:rFonts w:ascii="Times New Roman" w:cs="Times New Roman" w:eastAsia="Times New Roman" w:hAnsi="Times New Roman"/>
          <w:sz w:val="18"/>
          <w:szCs w:val="18"/>
        </w:rPr>
        <w:t xml:space="preserve">[10]	X. Yue, A. Liu, N. Chen, C. Huang, H. Liu, Z. Huang, and L. Fang, "HyperTTA: Test-time adaptation for hyperspectral image classification under distribution shifts," arXiv:2509.08436, 2025.</w:t>
      </w:r>
    </w:p>
    <w:p>
      <w:pPr>
        <w:tabs>
          <w:tab w:val="left" w:pos="260"/>
        </w:tabs>
        <w:spacing w:after="60"/>
        <w:ind w:left="260" w:hanging="260"/>
        <w:jc w:val="both"/>
      </w:pPr>
      <w:r>
        <w:rPr>
          <w:rFonts w:ascii="Times New Roman" w:cs="Times New Roman" w:eastAsia="Times New Roman" w:hAnsi="Times New Roman"/>
          <w:sz w:val="18"/>
          <w:szCs w:val="18"/>
        </w:rPr>
        <w:t xml:space="preserve">[11]	P. Helber, B. Bischke, A. Dengel, and D. Borth, "EuroSAT: A novel dataset and deep learning benchmark for land use and land cover classification," IEEE Journal of Selected Topics in Applied Earth Observations and Remote Sensing, vol. 12, no. 7, pp. 2217–2226, 2019.</w:t>
      </w:r>
    </w:p>
    <w:p>
      <w:pPr>
        <w:tabs>
          <w:tab w:val="left" w:pos="260"/>
        </w:tabs>
        <w:spacing w:after="60"/>
        <w:ind w:left="260" w:hanging="260"/>
        <w:jc w:val="both"/>
      </w:pPr>
      <w:r>
        <w:rPr>
          <w:rFonts w:ascii="Times New Roman" w:cs="Times New Roman" w:eastAsia="Times New Roman" w:hAnsi="Times New Roman"/>
          <w:sz w:val="18"/>
          <w:szCs w:val="18"/>
        </w:rPr>
        <w:t xml:space="preserve">[12]	D. Hendrycks and T. Dietterich, "Benchmarking neural network robustness to common corruptions and perturbations," in Proc. Int. Conf. Learning Representations (ICLR), 2019.</w:t>
      </w:r>
    </w:p>
    <w:p>
      <w:pPr>
        <w:tabs>
          <w:tab w:val="left" w:pos="260"/>
        </w:tabs>
        <w:spacing w:after="60"/>
        <w:ind w:left="260" w:hanging="260"/>
        <w:jc w:val="both"/>
      </w:pPr>
      <w:r>
        <w:rPr>
          <w:rFonts w:ascii="Times New Roman" w:cs="Times New Roman" w:eastAsia="Times New Roman" w:hAnsi="Times New Roman"/>
          <w:sz w:val="18"/>
          <w:szCs w:val="18"/>
        </w:rPr>
        <w:t xml:space="preserve">[13]	N. Ford, J. Gilmer, N. Carlini, and E. D. Cubuk, "Adversarial examples are a natural consequence of test error in noise," arXiv:1901.10513, 2019.</w:t>
      </w:r>
    </w:p>
    <w:p>
      <w:pPr>
        <w:tabs>
          <w:tab w:val="left" w:pos="260"/>
        </w:tabs>
        <w:spacing w:after="60"/>
        <w:ind w:left="260" w:hanging="260"/>
        <w:jc w:val="both"/>
      </w:pPr>
      <w:r>
        <w:rPr>
          <w:rFonts w:ascii="Times New Roman" w:cs="Times New Roman" w:eastAsia="Times New Roman" w:hAnsi="Times New Roman"/>
          <w:sz w:val="18"/>
          <w:szCs w:val="18"/>
        </w:rPr>
        <w:t xml:space="preserve">[14]	S. Oehri, N. Ebert, A. Abdullah, D. Stricker, and O. Wasenmüller, "GenFormer: Generated images are all you need to improve robustness of transformers on small datasets," in Proc. Int. Conf. Pattern Recognition (ICPR), 2024.</w:t>
      </w:r>
    </w:p>
    <w:sectPr>
      <w:type w:val="continuous"/>
      <w:pgSz w:w="12240" w:h="15840" w:orient="portrait"/>
      <w:pgMar w:top="1080" w:right="900" w:bottom="108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40df3bd6ae443c1e4d5f1bf3671a614f4922b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2026-08-27T23:28:47.986Z</dcterms:created>
  <dcterms:modified xsi:type="dcterms:W3CDTF">2026-08-27T23:28:47.986Z</dcterms:modified>
</cp:coreProperties>
</file>

<file path=docProps/custom.xml><?xml version="1.0" encoding="utf-8"?>
<Properties xmlns="http://schemas.openxmlformats.org/officeDocument/2006/custom-properties" xmlns:vt="http://schemas.openxmlformats.org/officeDocument/2006/docPropsVTypes"/>
</file>