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Types of Access Tiers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Azure lets you store data in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different tiers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based on how often you need it.This helps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save money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by matching storage cost to usage.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290"/>
        <w:gridCol w:w="3000"/>
        <w:gridCol w:w="3195"/>
        <w:tblGridChange w:id="0">
          <w:tblGrid>
            <w:gridCol w:w="1245"/>
            <w:gridCol w:w="1290"/>
            <w:gridCol w:w="3000"/>
            <w:gridCol w:w="31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Best For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Highest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Always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Frequently accessed data (e.g., active apps, websites)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Cheaper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Slight delay in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Infrequently accessed data (e.g., monthly reports)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Cheaper than 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Slower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Rarely accessed data but still retrievable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Cheapest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Retrieval takes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Long-term backups, compliance storage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Verdana" w:cs="Verdana" w:eastAsia="Verdana" w:hAnsi="Verdana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Click on the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 option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177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Once you click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Browse for Files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page will appear. At the bottom of that page, select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dropdown option.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26100" cy="444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clicking the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4"/>
          <w:szCs w:val="24"/>
          <w:rtl w:val="0"/>
        </w:rPr>
        <w:t xml:space="preserve">Advanced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option, the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sz w:val="24"/>
          <w:szCs w:val="24"/>
          <w:rtl w:val="0"/>
        </w:rPr>
        <w:t xml:space="preserve">Access Tiers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section will appear. Click on it to view all access tier types, and then select one.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75300" cy="65532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After selecting the access tier, the file will be uploaded to the Overview page.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04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