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84C78"/>
          <w:sz w:val="40"/>
        </w:rPr>
        <w:t>NEURAL DISTINGUISHER PROJECT DOCUMENTATION</w:t>
      </w:r>
    </w:p>
    <w:p>
      <w:pPr>
        <w:spacing w:before="0" w:after="280"/>
        <w:jc w:val="center"/>
      </w:pPr>
      <w:r>
        <w:rPr>
          <w:rFonts w:ascii="Calibri" w:hAnsi="Calibri"/>
          <w:i/>
          <w:color w:val="646464"/>
          <w:sz w:val="26"/>
        </w:rPr>
        <w:t>Deep Learning &amp; Classical ML Framework for Cryptographic Algorithm Identification from Ciphertext</w:t>
      </w:r>
    </w:p>
    <w:p>
      <w:pPr>
        <w:keepNext/>
        <w:spacing w:before="240" w:after="80"/>
      </w:pPr>
      <w:r>
        <w:rPr>
          <w:rFonts w:ascii="Calibri" w:hAnsi="Calibri"/>
          <w:b/>
          <w:color w:val="184C78"/>
          <w:sz w:val="32"/>
        </w:rPr>
        <w:t>1. Executive Summary &amp; Problem Formulation</w:t>
      </w:r>
    </w:p>
    <w:p>
      <w:pPr>
        <w:spacing w:after="100"/>
      </w:pPr>
      <w:r>
        <w:rPr>
          <w:sz w:val="28"/>
        </w:rPr>
        <w:t>Modern block ciphers are mathematically designed to output high-entropy pseudo-random noise that satisfies Shannon's principle of confusion and diffusion. Under traditional cryptanalysis, ciphertext without knowledge of the cryptographic key should be computationally indistinguishable from an ideal random permutation.</w:t>
      </w:r>
    </w:p>
    <w:p>
      <w:pPr>
        <w:spacing w:after="100"/>
      </w:pPr>
      <w:r>
        <w:rPr>
          <w:sz w:val="28"/>
        </w:rPr>
        <w:t>The Neural Distinguisher project explores whether deep representation learning and classical machine learning can extract non-randomness from statistical randomness features (NIST SP 800-22) to determine the underlying encryption algorithm. The investigation assesses two problem domains:</w:t>
      </w:r>
    </w:p>
    <w:p>
      <w:pPr>
        <w:pStyle w:val="ListBullet"/>
        <w:spacing w:after="60"/>
      </w:pPr>
      <w:r>
        <w:rPr>
          <w:b/>
          <w:sz w:val="28"/>
        </w:rPr>
        <w:t xml:space="preserve">Binary Classification (AES vs. 3DES): </w:t>
      </w:r>
      <w:r>
        <w:rPr>
          <w:sz w:val="28"/>
        </w:rPr>
        <w:t>A targeted discriminator assessing structural and diffusion differences between AES-128 and Triple-DES.</w:t>
      </w:r>
    </w:p>
    <w:p>
      <w:pPr>
        <w:pStyle w:val="ListBullet"/>
        <w:spacing w:after="60"/>
      </w:pPr>
      <w:r>
        <w:rPr>
          <w:b/>
          <w:sz w:val="28"/>
        </w:rPr>
        <w:t xml:space="preserve">5-Cipher Multiclass Classification: </w:t>
      </w:r>
      <w:r>
        <w:rPr>
          <w:sz w:val="28"/>
        </w:rPr>
        <w:t>An evaluation across 5 distinct block ciphers (AES-128, 3DES, CAST-128, RC2, Blowfish) evaluating cross-cipher statistical separability against random chance (20.0%).</w:t>
      </w:r>
    </w:p>
    <w:p>
      <w:pPr>
        <w:keepNext/>
        <w:spacing w:before="240" w:after="80"/>
      </w:pPr>
      <w:r>
        <w:rPr>
          <w:rFonts w:ascii="Calibri" w:hAnsi="Calibri"/>
          <w:b/>
          <w:color w:val="184C78"/>
          <w:sz w:val="32"/>
        </w:rPr>
        <w:t>2. End-to-End Pipeline Architecture (5 Core Stages)</w:t>
      </w:r>
    </w:p>
    <w:p>
      <w:pPr>
        <w:spacing w:after="100"/>
      </w:pPr>
      <w:r>
        <w:rPr>
          <w:sz w:val="28"/>
        </w:rPr>
        <w:t>The system follows an automated pipeline divided into five flow stages:</w:t>
      </w:r>
    </w:p>
    <w:p>
      <w:pPr>
        <w:pStyle w:val="ListBullet"/>
        <w:spacing w:after="60"/>
      </w:pPr>
      <w:r>
        <w:rPr>
          <w:b/>
          <w:sz w:val="28"/>
        </w:rPr>
        <w:t xml:space="preserve">Stage 1 - Simulation &amp; Data Generation: </w:t>
      </w:r>
      <w:r>
        <w:rPr>
          <w:sz w:val="28"/>
        </w:rPr>
        <w:t>Generates 25,000 synthetic ciphertext samples across AES, 3DES, CAST, RC2, and Blowfish in ECB/CBC modes with PKCS#7 padding across five scale tiers: 1 KB, 8 KB, 64 KB, 256 KB, and 512 KB.</w:t>
      </w:r>
    </w:p>
    <w:p>
      <w:pPr>
        <w:pStyle w:val="ListBullet"/>
        <w:spacing w:after="60"/>
      </w:pPr>
      <w:r>
        <w:rPr>
          <w:b/>
          <w:sz w:val="28"/>
        </w:rPr>
        <w:t xml:space="preserve">Stage 2 - NIST Statistical Feature Extraction: </w:t>
      </w:r>
      <w:r>
        <w:rPr>
          <w:sz w:val="28"/>
        </w:rPr>
        <w:t>Computes 49 statistical randomness p-values per sample based on NIST SP 800-22 tests (Monobit, Block Frequency, Runs, Longest Run of Ones, Discrete Fourier Transform, Maurer's Universal, Approximate Entropy, and Cumulative Sums).</w:t>
      </w:r>
    </w:p>
    <w:p>
      <w:pPr>
        <w:pStyle w:val="ListBullet"/>
        <w:spacing w:after="60"/>
      </w:pPr>
      <w:r>
        <w:rPr>
          <w:b/>
          <w:sz w:val="28"/>
        </w:rPr>
        <w:t xml:space="preserve">Stage 3 - Multi-Architecture Model Training: </w:t>
      </w:r>
      <w:r>
        <w:rPr>
          <w:sz w:val="28"/>
        </w:rPr>
        <w:t>Trains 7 distinct model families: 1D Convolutional Neural Network (CipherCNN), Multi-Layer Perceptron (MLP 64x32), Random Forest (100 trees), Support Vector Machine (RBF kernel), K-Nearest Neighbors (k=5), Logistic Regression, and Gaussian Naive Bayes.</w:t>
      </w:r>
    </w:p>
    <w:p>
      <w:pPr>
        <w:pStyle w:val="ListBullet"/>
        <w:spacing w:after="60"/>
      </w:pPr>
      <w:r>
        <w:rPr>
          <w:b/>
          <w:sz w:val="28"/>
        </w:rPr>
        <w:t xml:space="preserve">Stage 4 - Checkpoint Verification &amp; Packaging: </w:t>
      </w:r>
      <w:r>
        <w:rPr>
          <w:sz w:val="28"/>
        </w:rPr>
        <w:t>Implements 10-split stratified shuffle validation, loss checkpointing, feature standardization, and artifact export.</w:t>
      </w:r>
    </w:p>
    <w:p>
      <w:pPr>
        <w:pStyle w:val="ListBullet"/>
        <w:spacing w:after="60"/>
      </w:pPr>
      <w:r>
        <w:rPr>
          <w:b/>
          <w:sz w:val="28"/>
        </w:rPr>
        <w:t xml:space="preserve">Stage 5 - Tester &amp; Empirical Benchmark Evaluation: </w:t>
      </w:r>
      <w:r>
        <w:rPr>
          <w:sz w:val="28"/>
        </w:rPr>
        <w:t>Conducts empirical benchmarking, automated visualization, and live multi-architecture inference.</w:t>
      </w:r>
    </w:p>
    <w:p>
      <w:pPr>
        <w:keepNext/>
        <w:spacing w:before="240" w:after="80"/>
      </w:pPr>
      <w:r>
        <w:rPr>
          <w:rFonts w:ascii="Calibri" w:hAnsi="Calibri"/>
          <w:b/>
          <w:color w:val="184C78"/>
          <w:sz w:val="32"/>
        </w:rPr>
        <w:t>3. Model Architecture Specifications</w:t>
      </w:r>
    </w:p>
    <w:p>
      <w:pPr>
        <w:spacing w:after="100"/>
      </w:pPr>
      <w:r>
        <w:rPr>
          <w:sz w:val="28"/>
        </w:rPr>
        <w:t>The system benchmarks seven diverse learning architectures to evaluate feature extraction capabilities:</w:t>
      </w:r>
    </w:p>
    <w:p>
      <w:pPr>
        <w:pStyle w:val="ListBullet"/>
        <w:spacing w:after="60"/>
      </w:pPr>
      <w:r>
        <w:rPr>
          <w:b/>
          <w:sz w:val="28"/>
        </w:rPr>
        <w:t xml:space="preserve">1D CNN (Proposed Model): </w:t>
      </w:r>
      <w:r>
        <w:rPr>
          <w:sz w:val="28"/>
        </w:rPr>
        <w:t>A deep convolutional network with two Conv1D layers (16 and 32 filters, kernel size 3, padding 1), MaxPool1D pooling, ReLU activations, and a 64-unit fully-connected dense layer with Dropout.</w:t>
      </w:r>
    </w:p>
    <w:p>
      <w:pPr>
        <w:pStyle w:val="ListBullet"/>
        <w:spacing w:after="60"/>
      </w:pPr>
      <w:r>
        <w:rPr>
          <w:b/>
          <w:sz w:val="28"/>
        </w:rPr>
        <w:t xml:space="preserve">MLP (Deep Baseline): </w:t>
      </w:r>
      <w:r>
        <w:rPr>
          <w:sz w:val="28"/>
        </w:rPr>
        <w:t>Two fully-connected hidden layers (64 and 32 neurons) with ReLU activation and Adam optimization.</w:t>
      </w:r>
    </w:p>
    <w:p>
      <w:pPr>
        <w:pStyle w:val="ListBullet"/>
        <w:spacing w:after="60"/>
      </w:pPr>
      <w:r>
        <w:rPr>
          <w:b/>
          <w:sz w:val="28"/>
        </w:rPr>
        <w:t xml:space="preserve">Random Forest: </w:t>
      </w:r>
      <w:r>
        <w:rPr>
          <w:sz w:val="28"/>
        </w:rPr>
        <w:t>An ensemble of 100 decorrelated decision trees capturing non-linear feature interactions.</w:t>
      </w:r>
    </w:p>
    <w:p>
      <w:pPr>
        <w:pStyle w:val="ListBullet"/>
        <w:spacing w:after="60"/>
      </w:pPr>
      <w:r>
        <w:rPr>
          <w:b/>
          <w:sz w:val="28"/>
        </w:rPr>
        <w:t xml:space="preserve">Support Vector Machine (SVM): </w:t>
      </w:r>
      <w:r>
        <w:rPr>
          <w:sz w:val="28"/>
        </w:rPr>
        <w:t>Non-linear hyperplane separation using a Radial Basis Function (RBF) kernel with C=1.0.</w:t>
      </w:r>
    </w:p>
    <w:p>
      <w:pPr>
        <w:pStyle w:val="ListBullet"/>
        <w:spacing w:after="60"/>
      </w:pPr>
      <w:r>
        <w:rPr>
          <w:b/>
          <w:sz w:val="28"/>
        </w:rPr>
        <w:t xml:space="preserve">K-Nearest Neighbors (KNN): </w:t>
      </w:r>
      <w:r>
        <w:rPr>
          <w:sz w:val="28"/>
        </w:rPr>
        <w:t>Instance-based metric classification using Euclidean distance across standardized features (k=5).</w:t>
      </w:r>
    </w:p>
    <w:p>
      <w:pPr>
        <w:pStyle w:val="ListBullet"/>
        <w:spacing w:after="60"/>
      </w:pPr>
      <w:r>
        <w:rPr>
          <w:b/>
          <w:sz w:val="28"/>
        </w:rPr>
        <w:t xml:space="preserve">Logistic Regression (LR): </w:t>
      </w:r>
      <w:r>
        <w:rPr>
          <w:sz w:val="28"/>
        </w:rPr>
        <w:t>Linear discriminative baseline using L2 ridge regularization and L-BFGS optimization.</w:t>
      </w:r>
    </w:p>
    <w:p>
      <w:pPr>
        <w:pStyle w:val="ListBullet"/>
        <w:spacing w:after="60"/>
      </w:pPr>
      <w:r>
        <w:rPr>
          <w:b/>
          <w:sz w:val="28"/>
        </w:rPr>
        <w:t xml:space="preserve">Gaussian Naive Bayes (GNB): </w:t>
      </w:r>
      <w:r>
        <w:rPr>
          <w:sz w:val="28"/>
        </w:rPr>
        <w:t>Probabilistic baseline assuming independent normal feature distributions.</w:t>
      </w:r>
    </w:p>
    <w:p>
      <w:pPr>
        <w:keepNext/>
        <w:spacing w:before="240" w:after="80"/>
      </w:pPr>
      <w:r>
        <w:rPr>
          <w:rFonts w:ascii="Calibri" w:hAnsi="Calibri"/>
          <w:b/>
          <w:color w:val="184C78"/>
          <w:sz w:val="32"/>
        </w:rPr>
        <w:t>4. Empirical Benchmark Performance</w:t>
      </w:r>
    </w:p>
    <w:p>
      <w:pPr>
        <w:spacing w:after="100"/>
      </w:pPr>
      <w:r>
        <w:rPr>
          <w:sz w:val="28"/>
        </w:rPr>
        <w:t>All models were evaluated across 10 repeated stratified splits. Below are the verified empirical benchmarks for both classification tasks:</w:t>
      </w:r>
    </w:p>
    <w:p>
      <w:pPr>
        <w:keepNext/>
        <w:spacing w:before="160" w:after="60"/>
      </w:pPr>
      <w:r>
        <w:rPr>
          <w:rFonts w:ascii="Calibri" w:hAnsi="Calibri"/>
          <w:b/>
          <w:color w:val="285A8C"/>
          <w:sz w:val="28"/>
        </w:rPr>
        <w:t>[A] Binary Classification Benchmark: AES vs. 3DES (Random Chance = 50.0%)</w:t>
      </w:r>
    </w:p>
    <w:p>
      <w:pPr>
        <w:spacing w:after="100"/>
      </w:pPr>
      <w:r>
        <w:rPr>
          <w:sz w:val="28"/>
        </w:rPr>
        <w:t>The 1D CNN achieves up to 92.0% accuracy at 512 KB, outperforming classical machine learning baselines by up to 38.0%: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44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File Size</w:t>
            </w:r>
          </w:p>
        </w:tc>
        <w:tc>
          <w:tcPr>
            <w:tcW w:type="dxa" w:w="1224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1D CNN</w:t>
            </w:r>
          </w:p>
        </w:tc>
        <w:tc>
          <w:tcPr>
            <w:tcW w:type="dxa" w:w="1224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MLP</w:t>
            </w:r>
          </w:p>
        </w:tc>
        <w:tc>
          <w:tcPr>
            <w:tcW w:type="dxa" w:w="144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Random Forest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SVM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KNN</w:t>
            </w:r>
          </w:p>
        </w:tc>
        <w:tc>
          <w:tcPr>
            <w:tcW w:type="dxa" w:w="1296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Log. Reg.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GNB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1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82.0%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72.5%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52.5%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50.0%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55.0%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40.0%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44.0%</w:t>
            </w:r>
          </w:p>
        </w:tc>
      </w:tr>
      <w:tr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8 KB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84.5%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72.5%</w:t>
            </w:r>
          </w:p>
        </w:tc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57.5%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52.5%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52.5%</w:t>
            </w:r>
          </w:p>
        </w:tc>
        <w:tc>
          <w:tcPr>
            <w:tcW w:type="dxa" w:w="1296"/>
            <w:shd w:fill="F4F7FA"/>
          </w:tcPr>
          <w:p>
            <w:pPr>
              <w:jc w:val="center"/>
            </w:pPr>
            <w:r>
              <w:rPr>
                <w:sz w:val="24"/>
              </w:rPr>
              <w:t>50.0%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52.0%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64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89.5%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77.5%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65.0%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62.5%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</w:tr>
      <w:tr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256 KB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89.5%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77.5%</w:t>
            </w:r>
          </w:p>
        </w:tc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62.5%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57.5%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57.5%</w:t>
            </w:r>
          </w:p>
        </w:tc>
        <w:tc>
          <w:tcPr>
            <w:tcW w:type="dxa" w:w="1296"/>
            <w:shd w:fill="F4F7FA"/>
          </w:tcPr>
          <w:p>
            <w:pPr>
              <w:jc w:val="center"/>
            </w:pPr>
            <w:r>
              <w:rPr>
                <w:sz w:val="24"/>
              </w:rPr>
              <w:t>54.0%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62.0%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512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92.0%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82.5%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54.0%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60.0%</w:t>
            </w:r>
          </w:p>
        </w:tc>
      </w:tr>
    </w:tbl>
    <w:p>
      <w:pPr>
        <w:spacing w:after="100"/>
      </w:pPr>
      <w:r>
        <w:rPr>
          <w:sz w:val="28"/>
        </w:rPr>
      </w:r>
    </w:p>
    <w:p>
      <w:pPr>
        <w:keepNext/>
        <w:spacing w:before="160" w:after="60"/>
      </w:pPr>
      <w:r>
        <w:rPr>
          <w:rFonts w:ascii="Calibri" w:hAnsi="Calibri"/>
          <w:b/>
          <w:color w:val="285A8C"/>
          <w:sz w:val="28"/>
        </w:rPr>
        <w:t>[B] 5-Cipher Multiclass Classification Benchmark (Random Chance = 20.0%)</w:t>
      </w:r>
    </w:p>
    <w:p>
      <w:pPr>
        <w:spacing w:after="100"/>
      </w:pPr>
      <w:r>
        <w:rPr>
          <w:sz w:val="28"/>
        </w:rPr>
        <w:t>Evaluated across AES-128, 3DES, CAST-128, RC2, and Blowfish on the 25,000-sample empirical dataset: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44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File Size</w:t>
            </w:r>
          </w:p>
        </w:tc>
        <w:tc>
          <w:tcPr>
            <w:tcW w:type="dxa" w:w="1224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1D CNN</w:t>
            </w:r>
          </w:p>
        </w:tc>
        <w:tc>
          <w:tcPr>
            <w:tcW w:type="dxa" w:w="1224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MLP</w:t>
            </w:r>
          </w:p>
        </w:tc>
        <w:tc>
          <w:tcPr>
            <w:tcW w:type="dxa" w:w="144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Random Forest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SVM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KNN</w:t>
            </w:r>
          </w:p>
        </w:tc>
        <w:tc>
          <w:tcPr>
            <w:tcW w:type="dxa" w:w="1296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Log. Reg.</w:t>
            </w:r>
          </w:p>
        </w:tc>
        <w:tc>
          <w:tcPr>
            <w:tcW w:type="dxa" w:w="1080"/>
            <w:shd w:fill="184C78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GNB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1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19.4%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19.4%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21.8%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18.5%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18.9%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18.6%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18.3%</w:t>
            </w:r>
          </w:p>
        </w:tc>
      </w:tr>
      <w:tr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8 KB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20.1%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19.6%</w:t>
            </w:r>
          </w:p>
        </w:tc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18.6%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19.3%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20.7%</w:t>
            </w:r>
          </w:p>
        </w:tc>
        <w:tc>
          <w:tcPr>
            <w:tcW w:type="dxa" w:w="1296"/>
            <w:shd w:fill="F4F7FA"/>
          </w:tcPr>
          <w:p>
            <w:pPr>
              <w:jc w:val="center"/>
            </w:pPr>
            <w:r>
              <w:rPr>
                <w:sz w:val="24"/>
              </w:rPr>
              <w:t>18.0%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18.1%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64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22.0%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20.0%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19.0%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20.2%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20.7%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21.0%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20.6%</w:t>
            </w:r>
          </w:p>
        </w:tc>
      </w:tr>
      <w:tr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256 KB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20.2%</w:t>
            </w:r>
          </w:p>
        </w:tc>
        <w:tc>
          <w:tcPr>
            <w:tcW w:type="dxa" w:w="1224"/>
            <w:shd w:fill="F4F7FA"/>
          </w:tcPr>
          <w:p>
            <w:pPr>
              <w:jc w:val="center"/>
            </w:pPr>
            <w:r>
              <w:rPr>
                <w:sz w:val="24"/>
              </w:rPr>
              <w:t>21.4%</w:t>
            </w:r>
          </w:p>
        </w:tc>
        <w:tc>
          <w:tcPr>
            <w:tcW w:type="dxa" w:w="1440"/>
            <w:shd w:fill="F4F7FA"/>
          </w:tcPr>
          <w:p>
            <w:pPr>
              <w:jc w:val="center"/>
            </w:pPr>
            <w:r>
              <w:rPr>
                <w:sz w:val="24"/>
              </w:rPr>
              <w:t>19.5%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19.9%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21.2%</w:t>
            </w:r>
          </w:p>
        </w:tc>
        <w:tc>
          <w:tcPr>
            <w:tcW w:type="dxa" w:w="1296"/>
            <w:shd w:fill="F4F7FA"/>
          </w:tcPr>
          <w:p>
            <w:pPr>
              <w:jc w:val="center"/>
            </w:pPr>
            <w:r>
              <w:rPr>
                <w:sz w:val="24"/>
              </w:rPr>
              <w:t>19.8%</w:t>
            </w:r>
          </w:p>
        </w:tc>
        <w:tc>
          <w:tcPr>
            <w:tcW w:type="dxa" w:w="1080"/>
            <w:shd w:fill="F4F7FA"/>
          </w:tcPr>
          <w:p>
            <w:pPr>
              <w:jc w:val="center"/>
            </w:pPr>
            <w:r>
              <w:rPr>
                <w:sz w:val="24"/>
              </w:rPr>
              <w:t>20.1%</w:t>
            </w:r>
          </w:p>
        </w:tc>
      </w:tr>
      <w:tr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512 KB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20.2%</w:t>
            </w:r>
          </w:p>
        </w:tc>
        <w:tc>
          <w:tcPr>
            <w:tcW w:type="dxa" w:w="1224"/>
            <w:shd w:fill="FFFFFF"/>
          </w:tcPr>
          <w:p>
            <w:pPr>
              <w:jc w:val="center"/>
            </w:pPr>
            <w:r>
              <w:rPr>
                <w:sz w:val="24"/>
              </w:rPr>
              <w:t>19.9%</w:t>
            </w:r>
          </w:p>
        </w:tc>
        <w:tc>
          <w:tcPr>
            <w:tcW w:type="dxa" w:w="1440"/>
            <w:shd w:fill="FFFFFF"/>
          </w:tcPr>
          <w:p>
            <w:pPr>
              <w:jc w:val="center"/>
            </w:pPr>
            <w:r>
              <w:rPr>
                <w:sz w:val="24"/>
              </w:rPr>
              <w:t>19.9%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18.9%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22.5%</w:t>
            </w:r>
          </w:p>
        </w:tc>
        <w:tc>
          <w:tcPr>
            <w:tcW w:type="dxa" w:w="1296"/>
            <w:shd w:fill="FFFFFF"/>
          </w:tcPr>
          <w:p>
            <w:pPr>
              <w:jc w:val="center"/>
            </w:pPr>
            <w:r>
              <w:rPr>
                <w:sz w:val="24"/>
              </w:rPr>
              <w:t>21.1%</w:t>
            </w:r>
          </w:p>
        </w:tc>
        <w:tc>
          <w:tcPr>
            <w:tcW w:type="dxa" w:w="1080"/>
            <w:shd w:fill="FFFFFF"/>
          </w:tcPr>
          <w:p>
            <w:pPr>
              <w:jc w:val="center"/>
            </w:pPr>
            <w:r>
              <w:rPr>
                <w:sz w:val="24"/>
              </w:rPr>
              <w:t>18.8%</w:t>
            </w:r>
          </w:p>
        </w:tc>
      </w:tr>
    </w:tbl>
    <w:p>
      <w:pPr>
        <w:spacing w:after="100"/>
      </w:pPr>
      <w:r>
        <w:rPr>
          <w:sz w:val="28"/>
        </w:rPr>
      </w:r>
    </w:p>
    <w:p>
      <w:pPr>
        <w:spacing w:after="100"/>
      </w:pPr>
      <w:r>
        <w:rPr>
          <w:sz w:val="28"/>
        </w:rPr>
        <w:t>Key Finding: While 1D CNN successfully distinguishes AES from 3DES binary pairs due to structural differences, multi-cipher statistical discrimination hovers between 18.0% and 22.5% around the 20.0% random-chance level. This confirms the cryptographic principle that secure block ciphers produce statistically indistinguishable pseudo-random distributions across 5 algorithms.</w:t>
      </w:r>
    </w:p>
    <w:p>
      <w:pPr>
        <w:keepNext/>
        <w:spacing w:before="240" w:after="80"/>
      </w:pPr>
      <w:r>
        <w:rPr>
          <w:rFonts w:ascii="Calibri" w:hAnsi="Calibri"/>
          <w:b/>
          <w:color w:val="184C78"/>
          <w:sz w:val="32"/>
        </w:rPr>
        <w:t>5. Interactive System &amp; Production Features</w:t>
      </w:r>
    </w:p>
    <w:p>
      <w:pPr>
        <w:spacing w:after="100"/>
      </w:pPr>
      <w:r>
        <w:rPr>
          <w:sz w:val="28"/>
        </w:rPr>
        <w:t>The production inference interface (predict.py) and REST API provide the following robust features:</w:t>
      </w:r>
    </w:p>
    <w:p>
      <w:pPr>
        <w:pStyle w:val="ListBullet"/>
        <w:spacing w:after="60"/>
      </w:pPr>
      <w:r>
        <w:rPr>
          <w:b/>
          <w:sz w:val="28"/>
        </w:rPr>
        <w:t xml:space="preserve">Multi-Format Input Ingestion: </w:t>
      </w:r>
      <w:r>
        <w:rPr>
          <w:sz w:val="28"/>
        </w:rPr>
        <w:t>Supports raw hexadecimal strings, bulk CSV batch uploads, and real-time synthetic generation.</w:t>
      </w:r>
    </w:p>
    <w:p>
      <w:pPr>
        <w:pStyle w:val="ListBullet"/>
        <w:spacing w:after="60"/>
      </w:pPr>
      <w:r>
        <w:rPr>
          <w:b/>
          <w:sz w:val="28"/>
        </w:rPr>
        <w:t xml:space="preserve">Dynamic Input Snapping: </w:t>
      </w:r>
      <w:r>
        <w:rPr>
          <w:sz w:val="28"/>
        </w:rPr>
        <w:t>Inputs are aligned to trained benchmark sizes without zero-padding, preserving ciphertext entropy.</w:t>
      </w:r>
    </w:p>
    <w:p>
      <w:pPr>
        <w:pStyle w:val="ListBullet"/>
        <w:spacing w:after="60"/>
      </w:pPr>
      <w:r>
        <w:rPr>
          <w:b/>
          <w:sz w:val="28"/>
        </w:rPr>
        <w:t xml:space="preserve">Weighted Probability Consensus: </w:t>
      </w:r>
      <w:r>
        <w:rPr>
          <w:sz w:val="28"/>
        </w:rPr>
        <w:t>Ensemble prediction weighting the 1D CNN at 2.0x and classical baselines at 1.0x to prevent majority vote dilution.</w:t>
      </w:r>
    </w:p>
    <w:p>
      <w:pPr>
        <w:pStyle w:val="ListBullet"/>
        <w:spacing w:after="60"/>
      </w:pPr>
      <w:r>
        <w:rPr>
          <w:b/>
          <w:sz w:val="28"/>
        </w:rPr>
        <w:t xml:space="preserve">Out-of-Distribution Rejection: </w:t>
      </w:r>
      <w:r>
        <w:rPr>
          <w:sz w:val="28"/>
        </w:rPr>
        <w:t>Inputs that fail entropy checks or match non-target distributions are rejected rather than misclassified.</w:t>
      </w:r>
    </w:p>
    <w:p>
      <w:pPr>
        <w:pStyle w:val="ListBullet"/>
        <w:spacing w:after="60"/>
      </w:pPr>
      <w:r>
        <w:rPr>
          <w:b/>
          <w:sz w:val="28"/>
        </w:rPr>
        <w:t xml:space="preserve">Automated Visual Reporting: </w:t>
      </w:r>
      <w:r>
        <w:rPr>
          <w:sz w:val="28"/>
        </w:rPr>
        <w:t>Automatically creates publication-grade visual charts for both binary (benchmark_comparison.png) and multiclass (multiclass_benchmark_comparison.png) performance.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7878"/>
        <w:sz w:val="20"/>
      </w:rPr>
      <w:t xml:space="preserve">Neural Distinguisher Project Documentation  |  Page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82828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