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440A5" w14:textId="52BD4F20" w:rsidR="00DE24D1" w:rsidRPr="00146A9C" w:rsidRDefault="00DE24D1" w:rsidP="00DE24D1">
      <w:pPr>
        <w:tabs>
          <w:tab w:val="left" w:pos="3402"/>
        </w:tabs>
        <w:jc w:val="center"/>
        <w:rPr>
          <w:rFonts w:ascii="Times New Roman" w:hAnsi="Times New Roman" w:cs="Times New Roman"/>
          <w:color w:val="000000"/>
          <w:sz w:val="40"/>
          <w:szCs w:val="40"/>
          <w:lang w:val="en-IN"/>
        </w:rPr>
        <w:sectPr w:rsidR="00DE24D1" w:rsidRPr="00146A9C" w:rsidSect="00DE24D1">
          <w:headerReference w:type="default" r:id="rId7"/>
          <w:footerReference w:type="default" r:id="rId8"/>
          <w:pgSz w:w="11906" w:h="16838"/>
          <w:pgMar w:top="532" w:right="892" w:bottom="1440" w:left="892" w:header="720" w:footer="720" w:gutter="0"/>
          <w:cols w:space="720"/>
        </w:sectPr>
      </w:pPr>
      <w:r w:rsidRPr="00146A9C">
        <w:rPr>
          <w:rFonts w:ascii="Times New Roman" w:hAnsi="Times New Roman" w:cs="Times New Roman"/>
          <w:color w:val="000000"/>
          <w:sz w:val="40"/>
          <w:szCs w:val="40"/>
        </w:rPr>
        <w:t>Sustainable Investment Portfolio: A</w:t>
      </w:r>
      <w:r w:rsidR="00A80856">
        <w:rPr>
          <w:rFonts w:ascii="Times New Roman" w:hAnsi="Times New Roman" w:cs="Times New Roman"/>
          <w:color w:val="000000"/>
          <w:sz w:val="40"/>
          <w:szCs w:val="40"/>
        </w:rPr>
        <w:t>I</w:t>
      </w:r>
      <w:r w:rsidRPr="00146A9C">
        <w:rPr>
          <w:rFonts w:ascii="Times New Roman" w:hAnsi="Times New Roman" w:cs="Times New Roman"/>
          <w:color w:val="000000"/>
          <w:sz w:val="40"/>
          <w:szCs w:val="40"/>
        </w:rPr>
        <w:t xml:space="preserve">-Driven Approach </w:t>
      </w:r>
      <w:r w:rsidR="00A80856" w:rsidRPr="00146A9C">
        <w:rPr>
          <w:rFonts w:ascii="Times New Roman" w:hAnsi="Times New Roman" w:cs="Times New Roman"/>
          <w:color w:val="000000"/>
          <w:sz w:val="40"/>
          <w:szCs w:val="40"/>
        </w:rPr>
        <w:t>for</w:t>
      </w:r>
      <w:r w:rsidRPr="00146A9C">
        <w:rPr>
          <w:rFonts w:ascii="Times New Roman" w:hAnsi="Times New Roman" w:cs="Times New Roman"/>
          <w:color w:val="000000"/>
          <w:sz w:val="40"/>
          <w:szCs w:val="40"/>
        </w:rPr>
        <w:t xml:space="preserve"> Risk Management And E</w:t>
      </w:r>
      <w:r>
        <w:rPr>
          <w:rFonts w:ascii="Times New Roman" w:hAnsi="Times New Roman" w:cs="Times New Roman"/>
          <w:color w:val="000000"/>
          <w:sz w:val="40"/>
          <w:szCs w:val="40"/>
        </w:rPr>
        <w:t>SG</w:t>
      </w:r>
      <w:r w:rsidRPr="00146A9C">
        <w:rPr>
          <w:rFonts w:ascii="Times New Roman" w:hAnsi="Times New Roman" w:cs="Times New Roman"/>
          <w:color w:val="000000"/>
          <w:sz w:val="40"/>
          <w:szCs w:val="40"/>
        </w:rPr>
        <w:t>-Focused Asset Allocatio</w:t>
      </w:r>
      <w:r>
        <w:rPr>
          <w:rFonts w:ascii="Times New Roman" w:hAnsi="Times New Roman" w:cs="Times New Roman"/>
          <w:color w:val="000000"/>
          <w:sz w:val="40"/>
          <w:szCs w:val="40"/>
        </w:rPr>
        <w:t>n</w:t>
      </w:r>
    </w:p>
    <w:p w14:paraId="4B7F9803" w14:textId="77777777" w:rsidR="00DE24D1" w:rsidRDefault="00DE24D1" w:rsidP="00DE24D1">
      <w:pPr>
        <w:tabs>
          <w:tab w:val="left" w:pos="3402"/>
        </w:tabs>
        <w:rPr>
          <w:rFonts w:ascii="Times New Roman" w:hAnsi="Times New Roman" w:cs="Times New Roman"/>
          <w:color w:val="000000"/>
          <w:sz w:val="40"/>
          <w:szCs w:val="40"/>
          <w:lang w:val="en-IN"/>
        </w:rPr>
        <w:sectPr w:rsidR="00DE24D1" w:rsidSect="00DE24D1">
          <w:headerReference w:type="default" r:id="rId9"/>
          <w:footerReference w:type="default" r:id="rId10"/>
          <w:type w:val="continuous"/>
          <w:pgSz w:w="11906" w:h="16838"/>
          <w:pgMar w:top="532" w:right="892" w:bottom="1440" w:left="892" w:header="720" w:footer="720" w:gutter="0"/>
          <w:cols w:space="720"/>
        </w:sectPr>
      </w:pPr>
    </w:p>
    <w:p w14:paraId="78F7939D" w14:textId="54ABEF21" w:rsidR="00DE24D1" w:rsidRDefault="00DE24D1" w:rsidP="00DE24D1">
      <w:pPr>
        <w:pStyle w:val="Author"/>
        <w:spacing w:before="100" w:beforeAutospacing="1"/>
        <w:rPr>
          <w:sz w:val="18"/>
          <w:szCs w:val="18"/>
          <w:lang w:val="en-IN"/>
        </w:rPr>
      </w:pPr>
      <w:r>
        <w:rPr>
          <w:sz w:val="18"/>
          <w:szCs w:val="18"/>
          <w:lang w:val="en-IN"/>
        </w:rPr>
        <w:t>Tarang Bhargava</w:t>
      </w:r>
      <w:r w:rsidRPr="006341A5">
        <w:rPr>
          <w:sz w:val="18"/>
          <w:szCs w:val="18"/>
        </w:rPr>
        <w:br/>
      </w:r>
      <w:r w:rsidRPr="006341A5">
        <w:rPr>
          <w:i/>
          <w:iCs/>
          <w:sz w:val="18"/>
          <w:szCs w:val="18"/>
        </w:rPr>
        <w:t>Dep</w:t>
      </w:r>
      <w:r>
        <w:rPr>
          <w:i/>
          <w:iCs/>
          <w:sz w:val="18"/>
          <w:szCs w:val="18"/>
        </w:rPr>
        <w:t>artment of</w:t>
      </w:r>
      <w:r w:rsidRPr="006341A5">
        <w:rPr>
          <w:i/>
          <w:iCs/>
          <w:sz w:val="18"/>
          <w:szCs w:val="18"/>
        </w:rPr>
        <w:t xml:space="preserve"> Networking and Communication</w:t>
      </w:r>
      <w:r w:rsidRPr="006341A5">
        <w:rPr>
          <w:sz w:val="18"/>
          <w:szCs w:val="18"/>
        </w:rPr>
        <w:t xml:space="preserve"> </w:t>
      </w:r>
      <w:r w:rsidRPr="006341A5">
        <w:rPr>
          <w:i/>
          <w:sz w:val="18"/>
          <w:szCs w:val="18"/>
        </w:rPr>
        <w:t xml:space="preserve"> </w:t>
      </w:r>
      <w:r w:rsidRPr="006341A5">
        <w:rPr>
          <w:i/>
          <w:sz w:val="18"/>
          <w:szCs w:val="18"/>
        </w:rPr>
        <w:br/>
        <w:t xml:space="preserve">SRM Institute of Science and Technology </w:t>
      </w:r>
      <w:r w:rsidRPr="006341A5">
        <w:rPr>
          <w:i/>
          <w:sz w:val="18"/>
          <w:szCs w:val="18"/>
        </w:rPr>
        <w:br/>
      </w:r>
      <w:r w:rsidRPr="006341A5">
        <w:rPr>
          <w:sz w:val="18"/>
          <w:szCs w:val="18"/>
        </w:rPr>
        <w:t xml:space="preserve">Chennai, India </w:t>
      </w:r>
      <w:r w:rsidRPr="006341A5">
        <w:rPr>
          <w:sz w:val="18"/>
          <w:szCs w:val="18"/>
        </w:rPr>
        <w:br/>
      </w:r>
      <w:r>
        <w:rPr>
          <w:sz w:val="18"/>
          <w:szCs w:val="18"/>
        </w:rPr>
        <w:t>tb4911@srmist.edu.in</w:t>
      </w:r>
      <w:r w:rsidRPr="00A30325">
        <w:rPr>
          <w:sz w:val="18"/>
          <w:szCs w:val="18"/>
          <w:lang w:val="en-IN"/>
        </w:rPr>
        <w:t xml:space="preserve"> </w:t>
      </w:r>
    </w:p>
    <w:p w14:paraId="270973EA" w14:textId="77777777" w:rsidR="00DE24D1" w:rsidRDefault="00DE24D1" w:rsidP="00DE24D1">
      <w:pPr>
        <w:pStyle w:val="Author"/>
        <w:spacing w:before="100" w:beforeAutospacing="1"/>
        <w:rPr>
          <w:sz w:val="18"/>
          <w:szCs w:val="18"/>
          <w:lang w:val="en-IN"/>
        </w:rPr>
      </w:pPr>
    </w:p>
    <w:p w14:paraId="4CE6D6C9" w14:textId="776EAD45" w:rsidR="00DE24D1" w:rsidRDefault="00DE24D1" w:rsidP="00DE24D1">
      <w:pPr>
        <w:pStyle w:val="Author"/>
        <w:spacing w:before="100" w:beforeAutospacing="1"/>
        <w:rPr>
          <w:sz w:val="18"/>
          <w:szCs w:val="18"/>
          <w:lang w:val="en-IN"/>
        </w:rPr>
      </w:pPr>
      <w:r>
        <w:rPr>
          <w:sz w:val="18"/>
          <w:szCs w:val="18"/>
        </w:rPr>
        <w:t>Vikas Kumar</w:t>
      </w:r>
      <w:r w:rsidRPr="006341A5">
        <w:rPr>
          <w:sz w:val="18"/>
          <w:szCs w:val="18"/>
        </w:rPr>
        <w:br/>
      </w:r>
      <w:r w:rsidRPr="006341A5">
        <w:rPr>
          <w:i/>
          <w:iCs/>
          <w:sz w:val="18"/>
          <w:szCs w:val="18"/>
        </w:rPr>
        <w:t>Dep</w:t>
      </w:r>
      <w:r>
        <w:rPr>
          <w:i/>
          <w:iCs/>
          <w:sz w:val="18"/>
          <w:szCs w:val="18"/>
        </w:rPr>
        <w:t>artment of</w:t>
      </w:r>
      <w:r w:rsidRPr="006341A5">
        <w:rPr>
          <w:i/>
          <w:iCs/>
          <w:sz w:val="18"/>
          <w:szCs w:val="18"/>
        </w:rPr>
        <w:t xml:space="preserve"> Networking and Communication</w:t>
      </w:r>
      <w:r w:rsidRPr="006341A5">
        <w:rPr>
          <w:sz w:val="18"/>
          <w:szCs w:val="18"/>
        </w:rPr>
        <w:t xml:space="preserve"> </w:t>
      </w:r>
      <w:r w:rsidRPr="006341A5">
        <w:rPr>
          <w:i/>
          <w:sz w:val="18"/>
          <w:szCs w:val="18"/>
        </w:rPr>
        <w:t xml:space="preserve"> </w:t>
      </w:r>
      <w:r w:rsidRPr="006341A5">
        <w:rPr>
          <w:i/>
          <w:sz w:val="18"/>
          <w:szCs w:val="18"/>
        </w:rPr>
        <w:br/>
        <w:t xml:space="preserve">SRM Institute of Science and Technology </w:t>
      </w:r>
      <w:r w:rsidRPr="006341A5">
        <w:rPr>
          <w:i/>
          <w:sz w:val="18"/>
          <w:szCs w:val="18"/>
        </w:rPr>
        <w:br/>
      </w:r>
      <w:r w:rsidRPr="006341A5">
        <w:rPr>
          <w:sz w:val="18"/>
          <w:szCs w:val="18"/>
        </w:rPr>
        <w:t xml:space="preserve">Chennai, India </w:t>
      </w:r>
      <w:r w:rsidRPr="006341A5">
        <w:rPr>
          <w:sz w:val="18"/>
          <w:szCs w:val="18"/>
        </w:rPr>
        <w:br/>
      </w:r>
      <w:r>
        <w:rPr>
          <w:sz w:val="18"/>
          <w:szCs w:val="18"/>
        </w:rPr>
        <w:t>vk0683@srmist.edu.in</w:t>
      </w:r>
      <w:r w:rsidRPr="00A30325">
        <w:rPr>
          <w:sz w:val="18"/>
          <w:szCs w:val="18"/>
          <w:lang w:val="en-IN"/>
        </w:rPr>
        <w:t xml:space="preserve"> </w:t>
      </w:r>
    </w:p>
    <w:p w14:paraId="4ECAB476" w14:textId="77777777" w:rsidR="00DE24D1" w:rsidRDefault="00DE24D1" w:rsidP="00DE24D1">
      <w:pPr>
        <w:rPr>
          <w:sz w:val="18"/>
          <w:szCs w:val="18"/>
          <w:lang w:val="en-IN"/>
        </w:rPr>
      </w:pPr>
    </w:p>
    <w:p w14:paraId="04A6AEE3" w14:textId="77777777" w:rsidR="00DE24D1" w:rsidRDefault="00DE24D1" w:rsidP="00DE24D1">
      <w:pPr>
        <w:pStyle w:val="Author"/>
        <w:spacing w:before="100" w:beforeAutospacing="1"/>
        <w:rPr>
          <w:sz w:val="18"/>
          <w:szCs w:val="18"/>
          <w:lang w:val="en-IN"/>
        </w:rPr>
      </w:pPr>
    </w:p>
    <w:p w14:paraId="5179EBBB" w14:textId="0BED387A" w:rsidR="00DE24D1" w:rsidRDefault="00DE24D1" w:rsidP="00DE24D1">
      <w:pPr>
        <w:pStyle w:val="Author"/>
        <w:spacing w:before="100" w:beforeAutospacing="1"/>
        <w:rPr>
          <w:sz w:val="18"/>
          <w:szCs w:val="18"/>
          <w:lang w:val="en-IN"/>
        </w:rPr>
      </w:pPr>
      <w:r>
        <w:rPr>
          <w:sz w:val="18"/>
          <w:szCs w:val="18"/>
          <w:lang w:val="en-IN"/>
        </w:rPr>
        <w:t>Dr. V M Gayathri</w:t>
      </w:r>
      <w:r w:rsidRPr="006341A5">
        <w:rPr>
          <w:sz w:val="18"/>
          <w:szCs w:val="18"/>
        </w:rPr>
        <w:br/>
      </w:r>
      <w:r w:rsidRPr="006341A5">
        <w:rPr>
          <w:i/>
          <w:iCs/>
          <w:sz w:val="18"/>
          <w:szCs w:val="18"/>
        </w:rPr>
        <w:t>Dep</w:t>
      </w:r>
      <w:r>
        <w:rPr>
          <w:i/>
          <w:iCs/>
          <w:sz w:val="18"/>
          <w:szCs w:val="18"/>
        </w:rPr>
        <w:t>artment of</w:t>
      </w:r>
      <w:r w:rsidRPr="006341A5">
        <w:rPr>
          <w:i/>
          <w:iCs/>
          <w:sz w:val="18"/>
          <w:szCs w:val="18"/>
        </w:rPr>
        <w:t xml:space="preserve"> Networking and Communication</w:t>
      </w:r>
      <w:r w:rsidRPr="006341A5">
        <w:rPr>
          <w:sz w:val="18"/>
          <w:szCs w:val="18"/>
        </w:rPr>
        <w:t xml:space="preserve"> </w:t>
      </w:r>
      <w:r w:rsidRPr="006341A5">
        <w:rPr>
          <w:i/>
          <w:sz w:val="18"/>
          <w:szCs w:val="18"/>
        </w:rPr>
        <w:t xml:space="preserve"> </w:t>
      </w:r>
      <w:r w:rsidRPr="006341A5">
        <w:rPr>
          <w:i/>
          <w:sz w:val="18"/>
          <w:szCs w:val="18"/>
        </w:rPr>
        <w:br/>
        <w:t xml:space="preserve">SRM Institute of Science and Technology </w:t>
      </w:r>
      <w:r w:rsidRPr="006341A5">
        <w:rPr>
          <w:i/>
          <w:sz w:val="18"/>
          <w:szCs w:val="18"/>
        </w:rPr>
        <w:br/>
      </w:r>
      <w:r w:rsidRPr="006341A5">
        <w:rPr>
          <w:sz w:val="18"/>
          <w:szCs w:val="18"/>
        </w:rPr>
        <w:t xml:space="preserve">Chennai, India </w:t>
      </w:r>
      <w:r w:rsidRPr="006341A5">
        <w:rPr>
          <w:sz w:val="18"/>
          <w:szCs w:val="18"/>
        </w:rPr>
        <w:br/>
      </w:r>
      <w:r w:rsidRPr="00146A9C">
        <w:rPr>
          <w:sz w:val="18"/>
          <w:szCs w:val="18"/>
          <w:lang w:val="en"/>
        </w:rPr>
        <w:t>gayathrm</w:t>
      </w:r>
      <w:r>
        <w:rPr>
          <w:sz w:val="18"/>
          <w:szCs w:val="18"/>
        </w:rPr>
        <w:t>@srmist.edu.in</w:t>
      </w:r>
      <w:r w:rsidRPr="00A30325">
        <w:rPr>
          <w:sz w:val="18"/>
          <w:szCs w:val="18"/>
          <w:lang w:val="en-IN"/>
        </w:rPr>
        <w:t xml:space="preserve"> </w:t>
      </w:r>
    </w:p>
    <w:p w14:paraId="5E515D1A" w14:textId="77777777" w:rsidR="00DE24D1" w:rsidRDefault="00DE24D1" w:rsidP="00DE24D1">
      <w:pPr>
        <w:tabs>
          <w:tab w:val="left" w:pos="3402"/>
        </w:tabs>
        <w:jc w:val="center"/>
        <w:rPr>
          <w:rFonts w:ascii="Times New Roman" w:hAnsi="Times New Roman" w:cs="Times New Roman"/>
          <w:color w:val="000000"/>
          <w:sz w:val="40"/>
          <w:szCs w:val="40"/>
          <w:lang w:val="en-IN"/>
        </w:rPr>
      </w:pPr>
    </w:p>
    <w:p w14:paraId="5CAEDF9C" w14:textId="77777777" w:rsidR="00DE24D1" w:rsidRDefault="00DE24D1" w:rsidP="00DE24D1">
      <w:pPr>
        <w:tabs>
          <w:tab w:val="left" w:pos="3402"/>
        </w:tabs>
        <w:rPr>
          <w:rFonts w:ascii="Times New Roman" w:hAnsi="Times New Roman" w:cs="Times New Roman"/>
          <w:color w:val="000000"/>
          <w:sz w:val="40"/>
          <w:szCs w:val="40"/>
          <w:lang w:val="en-IN"/>
        </w:rPr>
        <w:sectPr w:rsidR="00DE24D1" w:rsidSect="00DE24D1">
          <w:headerReference w:type="default" r:id="rId11"/>
          <w:footerReference w:type="default" r:id="rId12"/>
          <w:type w:val="continuous"/>
          <w:pgSz w:w="11906" w:h="16838"/>
          <w:pgMar w:top="532" w:right="892" w:bottom="1440" w:left="892" w:header="720" w:footer="720" w:gutter="0"/>
          <w:cols w:num="3" w:space="720"/>
        </w:sectPr>
      </w:pPr>
    </w:p>
    <w:p w14:paraId="3BC54408" w14:textId="77777777" w:rsidR="00DE24D1" w:rsidRPr="00D94E77" w:rsidRDefault="00DE24D1" w:rsidP="00DE24D1">
      <w:pPr>
        <w:tabs>
          <w:tab w:val="left" w:pos="3402"/>
        </w:tabs>
        <w:rPr>
          <w:lang w:val="en-US"/>
        </w:rPr>
      </w:pPr>
      <w:bookmarkStart w:id="0" w:name="Tarang_Bhargava"/>
      <w:bookmarkEnd w:id="0"/>
    </w:p>
    <w:p w14:paraId="19CFB103" w14:textId="77777777" w:rsidR="00DE24D1" w:rsidRPr="00114317" w:rsidRDefault="00DE24D1" w:rsidP="00DE24D1">
      <w:bookmarkStart w:id="1" w:name="Priyanshu_Kumar"/>
      <w:bookmarkEnd w:id="1"/>
    </w:p>
    <w:p w14:paraId="4FC68C37" w14:textId="77777777" w:rsidR="00DE24D1" w:rsidRDefault="00DE24D1" w:rsidP="00DE24D1">
      <w:pPr>
        <w:rPr>
          <w:rFonts w:ascii="Times New Roman" w:eastAsia="Times New Roman" w:hAnsi="Times New Roman" w:cs="Times New Roman"/>
          <w:sz w:val="16"/>
          <w:szCs w:val="16"/>
        </w:rPr>
        <w:sectPr w:rsidR="00DE24D1" w:rsidSect="00DE24D1">
          <w:type w:val="continuous"/>
          <w:pgSz w:w="11906" w:h="16838"/>
          <w:pgMar w:top="532" w:right="892" w:bottom="1440" w:left="892" w:header="720" w:footer="720" w:gutter="0"/>
          <w:cols w:num="2" w:space="720" w:equalWidth="0">
            <w:col w:w="4699" w:space="720"/>
            <w:col w:w="4699" w:space="0"/>
          </w:cols>
        </w:sectPr>
      </w:pPr>
    </w:p>
    <w:p w14:paraId="0EFE08CD" w14:textId="4F7B5AD4" w:rsidR="00DE24D1" w:rsidRPr="006E37DD" w:rsidRDefault="00DE24D1" w:rsidP="00DE24D1">
      <w:pPr>
        <w:spacing w:after="200" w:line="240" w:lineRule="auto"/>
        <w:ind w:firstLine="273"/>
        <w:jc w:val="both"/>
        <w:rPr>
          <w:rFonts w:ascii="Times New Roman" w:eastAsia="Times New Roman" w:hAnsi="Times New Roman" w:cs="Times New Roman"/>
          <w:b/>
          <w:sz w:val="20"/>
          <w:szCs w:val="20"/>
          <w:lang w:val="en-IN"/>
        </w:rPr>
      </w:pPr>
      <w:r>
        <w:rPr>
          <w:rFonts w:ascii="Times New Roman" w:eastAsia="Times New Roman" w:hAnsi="Times New Roman" w:cs="Times New Roman"/>
          <w:b/>
          <w:i/>
          <w:sz w:val="18"/>
          <w:szCs w:val="18"/>
        </w:rPr>
        <w:t>Abstract</w:t>
      </w:r>
      <w:r>
        <w:rPr>
          <w:rFonts w:ascii="Times New Roman" w:eastAsia="Times New Roman" w:hAnsi="Times New Roman" w:cs="Times New Roman"/>
          <w:b/>
          <w:sz w:val="18"/>
          <w:szCs w:val="18"/>
        </w:rPr>
        <w:t>—</w:t>
      </w:r>
      <w:r w:rsidRPr="006E37DD">
        <w:rPr>
          <w:rFonts w:ascii="Times New Roman" w:eastAsia="Times New Roman" w:hAnsi="Times New Roman" w:cs="Times New Roman"/>
          <w:b/>
          <w:sz w:val="20"/>
          <w:szCs w:val="20"/>
          <w:lang w:val="en-IN"/>
        </w:rPr>
        <w:t xml:space="preserve">An autonomous traffic red-light violation detection system was built, which has the potential to significantly improve </w:t>
      </w:r>
      <w:r w:rsidR="0078326A" w:rsidRPr="006E37DD">
        <w:rPr>
          <w:rFonts w:ascii="Times New Roman" w:eastAsia="Times New Roman" w:hAnsi="Times New Roman" w:cs="Times New Roman"/>
          <w:b/>
          <w:sz w:val="20"/>
          <w:szCs w:val="20"/>
          <w:lang w:val="en-IN"/>
        </w:rPr>
        <w:t>transportat</w:t>
      </w:r>
      <w:r w:rsidR="0078326A">
        <w:rPr>
          <w:rFonts w:ascii="Times New Roman" w:eastAsia="Times New Roman" w:hAnsi="Times New Roman" w:cs="Times New Roman"/>
          <w:b/>
          <w:sz w:val="20"/>
          <w:szCs w:val="20"/>
          <w:lang w:val="en-IN"/>
        </w:rPr>
        <w:t>i</w:t>
      </w:r>
      <w:r w:rsidR="0078326A" w:rsidRPr="006E37DD">
        <w:rPr>
          <w:rFonts w:ascii="Times New Roman" w:eastAsia="Times New Roman" w:hAnsi="Times New Roman" w:cs="Times New Roman"/>
          <w:b/>
          <w:sz w:val="20"/>
          <w:szCs w:val="20"/>
          <w:lang w:val="en-IN"/>
        </w:rPr>
        <w:t>on</w:t>
      </w:r>
      <w:r w:rsidRPr="006E37DD">
        <w:rPr>
          <w:rFonts w:ascii="Times New Roman" w:eastAsia="Times New Roman" w:hAnsi="Times New Roman" w:cs="Times New Roman"/>
          <w:b/>
          <w:sz w:val="20"/>
          <w:szCs w:val="20"/>
          <w:lang w:val="en-IN"/>
        </w:rPr>
        <w:t xml:space="preserve"> management in smart cities. The operation of the system is mostly dependent on contemporary computer vision methods, which were implemented in OpenCV inside the Python environment. For the most part, the system is made up of an object detector and an object tracker, both of which operate in a coordinated fashion </w:t>
      </w:r>
      <w:proofErr w:type="gramStart"/>
      <w:r w:rsidRPr="006E37DD">
        <w:rPr>
          <w:rFonts w:ascii="Times New Roman" w:eastAsia="Times New Roman" w:hAnsi="Times New Roman" w:cs="Times New Roman"/>
          <w:b/>
          <w:sz w:val="20"/>
          <w:szCs w:val="20"/>
          <w:lang w:val="en-IN"/>
        </w:rPr>
        <w:t>in order to</w:t>
      </w:r>
      <w:proofErr w:type="gramEnd"/>
      <w:r w:rsidRPr="006E37DD">
        <w:rPr>
          <w:rFonts w:ascii="Times New Roman" w:eastAsia="Times New Roman" w:hAnsi="Times New Roman" w:cs="Times New Roman"/>
          <w:b/>
          <w:sz w:val="20"/>
          <w:szCs w:val="20"/>
          <w:lang w:val="en-IN"/>
        </w:rPr>
        <w:t xml:space="preserve"> accurately maintain the location of the automobiles that are already there. Eventually, the system will be able to identify the locations of cars that have violated the rules and will be able to identify the number plates of those vehicles. According to the output, the findings were correct, as </w:t>
      </w:r>
      <w:proofErr w:type="gramStart"/>
      <w:r w:rsidRPr="006E37DD">
        <w:rPr>
          <w:rFonts w:ascii="Times New Roman" w:eastAsia="Times New Roman" w:hAnsi="Times New Roman" w:cs="Times New Roman"/>
          <w:b/>
          <w:sz w:val="20"/>
          <w:szCs w:val="20"/>
          <w:lang w:val="en-IN"/>
        </w:rPr>
        <w:t>all of</w:t>
      </w:r>
      <w:proofErr w:type="gramEnd"/>
      <w:r w:rsidRPr="006E37DD">
        <w:rPr>
          <w:rFonts w:ascii="Times New Roman" w:eastAsia="Times New Roman" w:hAnsi="Times New Roman" w:cs="Times New Roman"/>
          <w:b/>
          <w:sz w:val="20"/>
          <w:szCs w:val="20"/>
          <w:lang w:val="en-IN"/>
        </w:rPr>
        <w:t xml:space="preserve"> the cars that violated the rules were identified and differentiated accurately</w:t>
      </w:r>
      <w:r w:rsidRPr="00DD3433">
        <w:rPr>
          <w:rFonts w:ascii="Times New Roman" w:eastAsia="Times New Roman" w:hAnsi="Times New Roman" w:cs="Times New Roman"/>
          <w:b/>
          <w:sz w:val="20"/>
          <w:szCs w:val="20"/>
        </w:rPr>
        <w:t>.</w:t>
      </w:r>
    </w:p>
    <w:p w14:paraId="42A46CC0" w14:textId="77777777" w:rsidR="00DE24D1" w:rsidRPr="00AB2B0E" w:rsidRDefault="00DE24D1" w:rsidP="00DE24D1">
      <w:pPr>
        <w:spacing w:after="200" w:line="240" w:lineRule="auto"/>
        <w:ind w:firstLine="273"/>
        <w:jc w:val="both"/>
        <w:rPr>
          <w:rFonts w:ascii="Times New Roman" w:eastAsia="Times New Roman" w:hAnsi="Times New Roman" w:cs="Times New Roman"/>
          <w:b/>
          <w:i/>
          <w:iCs/>
          <w:sz w:val="20"/>
          <w:szCs w:val="20"/>
        </w:rPr>
      </w:pPr>
      <w:r w:rsidRPr="00AB2B0E">
        <w:rPr>
          <w:rFonts w:ascii="Times New Roman" w:eastAsia="Times New Roman" w:hAnsi="Times New Roman" w:cs="Times New Roman"/>
          <w:b/>
          <w:i/>
          <w:iCs/>
          <w:sz w:val="20"/>
          <w:szCs w:val="20"/>
        </w:rPr>
        <w:t xml:space="preserve">Keywords: </w:t>
      </w:r>
      <w:r w:rsidRPr="00773FD1">
        <w:rPr>
          <w:rFonts w:ascii="Times New Roman" w:eastAsia="Times New Roman" w:hAnsi="Times New Roman" w:cs="Times New Roman"/>
          <w:b/>
          <w:i/>
          <w:iCs/>
          <w:sz w:val="20"/>
          <w:szCs w:val="20"/>
        </w:rPr>
        <w:t>Automatic Detection, Red-Light Violation, Computer Vision, Object Tracking, Number Plate Recognition, OpenCV, Smart Cities</w:t>
      </w:r>
      <w:r w:rsidRPr="00AB2B0E">
        <w:rPr>
          <w:rFonts w:ascii="Times New Roman" w:eastAsia="Times New Roman" w:hAnsi="Times New Roman" w:cs="Times New Roman"/>
          <w:b/>
          <w:i/>
          <w:iCs/>
          <w:sz w:val="20"/>
          <w:szCs w:val="20"/>
        </w:rPr>
        <w:t>.</w:t>
      </w:r>
    </w:p>
    <w:p w14:paraId="38ECD825" w14:textId="77777777" w:rsidR="00DE24D1" w:rsidRDefault="00DE24D1" w:rsidP="00DE24D1">
      <w:pPr>
        <w:numPr>
          <w:ilvl w:val="0"/>
          <w:numId w:val="1"/>
        </w:numPr>
        <w:spacing w:before="160" w:after="8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I</w:t>
      </w:r>
      <w:r>
        <w:rPr>
          <w:rFonts w:ascii="Times New Roman" w:eastAsia="Times New Roman" w:hAnsi="Times New Roman" w:cs="Times New Roman"/>
          <w:sz w:val="16"/>
          <w:szCs w:val="16"/>
        </w:rPr>
        <w:t>NTRODUCTION</w:t>
      </w:r>
    </w:p>
    <w:p w14:paraId="3F4CC68E" w14:textId="504AFAA5" w:rsidR="00DE24D1" w:rsidRPr="00061C75" w:rsidRDefault="00DE24D1" w:rsidP="00DE24D1">
      <w:pPr>
        <w:pStyle w:val="BodyText"/>
        <w:spacing w:before="18" w:line="249" w:lineRule="auto"/>
        <w:ind w:right="257"/>
        <w:jc w:val="both"/>
      </w:pPr>
      <w:bookmarkStart w:id="2" w:name="_Hlk196235614"/>
      <w:r w:rsidRPr="00061C75">
        <w:t>The global shift towards sustainable investing reflects a growing awareness among investors about the importance of integrating environmental, social, and governance (ESG) factors into financial decision-making. Numerous empirical studies confirm that companies with strong ESG practices tend to exhibit better financial performance and lower risk profiles, making ESG integration a vital component of modern portfolio management [11], [12]. As environmental concerns and social responsibility become critical factors in business sustainability, investors are no longer focusing solely on financial returns but also on the long-term impact of their investments.</w:t>
      </w:r>
    </w:p>
    <w:p w14:paraId="7F69FA71" w14:textId="77777777" w:rsidR="00DE24D1" w:rsidRPr="00061C75" w:rsidRDefault="00DE24D1" w:rsidP="00DE24D1">
      <w:pPr>
        <w:pStyle w:val="BodyText"/>
        <w:spacing w:before="18" w:line="249" w:lineRule="auto"/>
        <w:ind w:right="257"/>
        <w:jc w:val="both"/>
      </w:pPr>
      <w:r w:rsidRPr="00061C75">
        <w:t xml:space="preserve">Despite the rising interest in ESG-focused investing, traditional investment platforms often fail to adequately address the complex relationship between sustainability factors and financial performance. Conventional tools primarily emphasize historical financial data while overlooking forward-looking indicators such as ESG scores and real-time environmental risks. This gap </w:t>
      </w:r>
      <w:r w:rsidRPr="00061C75">
        <w:t>creates challenges for investors seeking to build portfolios that balance profitability with responsible investing. Therefore, there is an urgent need for innovative solutions that blend sustainability metrics with advanced financial analytics [9], [12].</w:t>
      </w:r>
    </w:p>
    <w:p w14:paraId="1FB9BE7C" w14:textId="77777777" w:rsidR="00DE24D1" w:rsidRPr="00061C75" w:rsidRDefault="00DE24D1" w:rsidP="00DE24D1">
      <w:pPr>
        <w:pStyle w:val="BodyText"/>
        <w:spacing w:before="18" w:line="249" w:lineRule="auto"/>
        <w:ind w:right="257"/>
        <w:jc w:val="both"/>
      </w:pPr>
      <w:r w:rsidRPr="00061C75">
        <w:t>The evolution of portfolio management theory has significantly advanced with the integration of computational models. Classical portfolio theories like Markowitz's approach continue to provide foundational insights into risk-return optimization [3]. When coupled with contemporary methodologies such as the Shapley value and harmonic search algorithms, these theories enable sophisticated approaches to diversification and risk management [7]. Additionally, specialized models like the Real Option-Based Investment Model have proven especially valuable for emerging sectors such as renewable energy portfolios [5].</w:t>
      </w:r>
    </w:p>
    <w:p w14:paraId="33CD5139" w14:textId="77777777" w:rsidR="00DE24D1" w:rsidRPr="00061C75" w:rsidRDefault="00DE24D1" w:rsidP="00DE24D1">
      <w:pPr>
        <w:pStyle w:val="BodyText"/>
        <w:spacing w:before="18" w:line="249" w:lineRule="auto"/>
        <w:ind w:right="257"/>
        <w:jc w:val="both"/>
      </w:pPr>
      <w:r w:rsidRPr="00061C75">
        <w:t>The emergence of multi-asset portfolio management systems offers promising solutions for integrating diverse investments while optimizing returns and mitigating risks [4]. These systems provide unified platforms that can offer tailored investment advice based on individual risk tolerance factors. Similarly, research on power grid multi-project portfolio investment optimization demonstrates how specialized algorithms like RWCS can systematically enhance efficiency and profitability in sector-specific applications [10].</w:t>
      </w:r>
    </w:p>
    <w:p w14:paraId="66B1B7B2" w14:textId="7A57D185" w:rsidR="00DE24D1" w:rsidRPr="00061C75" w:rsidRDefault="00DE24D1" w:rsidP="00DE24D1">
      <w:pPr>
        <w:pStyle w:val="BodyText"/>
        <w:spacing w:before="18" w:line="249" w:lineRule="auto"/>
        <w:ind w:right="257"/>
        <w:jc w:val="both"/>
      </w:pPr>
      <w:r w:rsidRPr="00061C75">
        <w:t xml:space="preserve">In the software development domain, agile methodologies have revolutionized project management approaches, enhanced flexibility and </w:t>
      </w:r>
      <w:proofErr w:type="gramStart"/>
      <w:r w:rsidRPr="00061C75">
        <w:t>improving</w:t>
      </w:r>
      <w:proofErr w:type="gramEnd"/>
      <w:r w:rsidRPr="00061C75">
        <w:t xml:space="preserve"> project success rates [1]. These frameworks provide valuable lessons for portfolio management, particularly in adapting to rapidly changing market conditions. Similarly, the principles of continuous integration and testing that have improved software quality [2] offer relevant parallels for continuous portfolio performance monitoring and adaptation.</w:t>
      </w:r>
    </w:p>
    <w:p w14:paraId="4AE10626" w14:textId="77777777" w:rsidR="00DE24D1" w:rsidRPr="00061C75" w:rsidRDefault="00DE24D1" w:rsidP="00DE24D1">
      <w:pPr>
        <w:pStyle w:val="BodyText"/>
        <w:spacing w:before="18" w:line="249" w:lineRule="auto"/>
        <w:ind w:right="257"/>
        <w:jc w:val="both"/>
      </w:pPr>
      <w:r w:rsidRPr="00061C75">
        <w:t xml:space="preserve">Digital transformation has further expanded the scope of portfolio management considerations, particularly for IT investments [8]. A systematic approach to evaluating </w:t>
      </w:r>
      <w:r w:rsidRPr="00061C75">
        <w:lastRenderedPageBreak/>
        <w:t>such investments within the broader digital transformation context has become increasingly essential for organizations seeking to align their technology portfolios with business objectives.</w:t>
      </w:r>
    </w:p>
    <w:p w14:paraId="35B5BB85" w14:textId="77777777" w:rsidR="00DE24D1" w:rsidRDefault="00DE24D1" w:rsidP="00DE24D1">
      <w:pPr>
        <w:pStyle w:val="BodyText"/>
        <w:spacing w:before="18" w:line="249" w:lineRule="auto"/>
        <w:ind w:right="257"/>
        <w:jc w:val="both"/>
      </w:pPr>
      <w:r w:rsidRPr="00061C75">
        <w:t>Ultimately, advancing portfolio management strategies requires balancing multiple dimensions - from traditional financial metrics to ESG criteria [9], from regional economic factors affecting markets like Dubai [6] to broader technological integration concerns. By leveraging these comprehensive approaches, investors can pursue balanced financial growth while actively participating in the global movement toward sustainability.</w:t>
      </w:r>
    </w:p>
    <w:p w14:paraId="7ADF0F9D" w14:textId="77777777" w:rsidR="00DE24D1" w:rsidRDefault="00DE24D1" w:rsidP="00DE24D1">
      <w:pPr>
        <w:pStyle w:val="BodyText"/>
        <w:spacing w:before="18" w:line="249" w:lineRule="auto"/>
        <w:ind w:right="257"/>
        <w:jc w:val="both"/>
      </w:pPr>
    </w:p>
    <w:p w14:paraId="3F777D30" w14:textId="77777777" w:rsidR="00DE24D1" w:rsidRDefault="00DE24D1" w:rsidP="00DE24D1">
      <w:pPr>
        <w:pStyle w:val="BodyText"/>
        <w:spacing w:before="18" w:line="249" w:lineRule="auto"/>
        <w:ind w:right="257"/>
        <w:jc w:val="both"/>
      </w:pPr>
    </w:p>
    <w:bookmarkEnd w:id="2"/>
    <w:p w14:paraId="7DFE627A" w14:textId="17E79D62" w:rsidR="00DE24D1" w:rsidRPr="00DE24D1" w:rsidRDefault="00DE24D1" w:rsidP="00DE24D1">
      <w:pPr>
        <w:pStyle w:val="ListParagraph"/>
        <w:numPr>
          <w:ilvl w:val="0"/>
          <w:numId w:val="10"/>
        </w:numPr>
        <w:shd w:val="clear" w:color="auto" w:fill="FFFFFF"/>
        <w:spacing w:after="120" w:line="240" w:lineRule="auto"/>
        <w:jc w:val="both"/>
        <w:rPr>
          <w:rFonts w:ascii="Times New Roman" w:eastAsia="Times New Roman" w:hAnsi="Times New Roman" w:cs="Times New Roman"/>
          <w:sz w:val="20"/>
          <w:szCs w:val="20"/>
        </w:rPr>
      </w:pPr>
      <w:r w:rsidRPr="00DE24D1">
        <w:rPr>
          <w:rFonts w:ascii="Times New Roman" w:eastAsia="Times New Roman" w:hAnsi="Times New Roman" w:cs="Times New Roman"/>
          <w:sz w:val="20"/>
          <w:szCs w:val="20"/>
        </w:rPr>
        <w:t>L</w:t>
      </w:r>
      <w:r w:rsidRPr="00DE24D1">
        <w:rPr>
          <w:rFonts w:ascii="Times New Roman" w:eastAsia="Times New Roman" w:hAnsi="Times New Roman" w:cs="Times New Roman"/>
          <w:sz w:val="16"/>
          <w:szCs w:val="16"/>
        </w:rPr>
        <w:t>ITERATURE</w:t>
      </w:r>
      <w:r w:rsidRPr="00DE24D1">
        <w:rPr>
          <w:rFonts w:ascii="Times New Roman" w:eastAsia="Times New Roman" w:hAnsi="Times New Roman" w:cs="Times New Roman"/>
          <w:sz w:val="20"/>
          <w:szCs w:val="20"/>
        </w:rPr>
        <w:t xml:space="preserve"> S</w:t>
      </w:r>
      <w:r w:rsidRPr="00DE24D1">
        <w:rPr>
          <w:rFonts w:ascii="Times New Roman" w:eastAsia="Times New Roman" w:hAnsi="Times New Roman" w:cs="Times New Roman"/>
          <w:sz w:val="16"/>
          <w:szCs w:val="16"/>
        </w:rPr>
        <w:t>URVEY</w:t>
      </w:r>
    </w:p>
    <w:p w14:paraId="29470788" w14:textId="2CD7AC63" w:rsidR="00DE24D1" w:rsidRPr="000C26FA" w:rsidRDefault="00DE24D1" w:rsidP="00DE24D1">
      <w:pPr>
        <w:shd w:val="clear" w:color="auto" w:fill="FFFFFF"/>
        <w:spacing w:after="120" w:line="240" w:lineRule="auto"/>
        <w:ind w:firstLine="360"/>
        <w:jc w:val="both"/>
        <w:rPr>
          <w:rFonts w:ascii="Times New Roman" w:eastAsia="Times New Roman" w:hAnsi="Times New Roman" w:cs="Times New Roman"/>
          <w:sz w:val="20"/>
          <w:szCs w:val="20"/>
          <w:lang w:val="en-US"/>
        </w:rPr>
      </w:pPr>
      <w:bookmarkStart w:id="3" w:name="_Hlk196235646"/>
      <w:r w:rsidRPr="000C26FA">
        <w:rPr>
          <w:rFonts w:ascii="Times New Roman" w:eastAsia="Times New Roman" w:hAnsi="Times New Roman" w:cs="Times New Roman"/>
          <w:sz w:val="20"/>
          <w:szCs w:val="20"/>
          <w:lang w:val="en-US"/>
        </w:rPr>
        <w:t>The landscape of sustainable investing has undergone significant transformation, evolving from a niche approach to a mainstream financial strategy driven by increased global emphasis on environmental responsibility and governance practices. Studies indicate that Environmental, Social, and Governance (ESG) factors are becoming critical in evaluating investment risks and opportunities [11], [12]. According to research findings, companies with strong ESG practices tend to exhibit better financial performance and lower risk profiles, making ESG integration vital for modern portfolio management. However, fragmented ESG data and inconsistent evaluation methods continue to pose significant challenges for investors attempting to align their portfolios with sustainability goals [9]. The theoretical foundation for portfolio optimization has continued to evolve, with classical approaches like Markowitz's portfolio theory [3] being enhanced through computational models such as those applying Shapley values and harmonic search algorithms [7]. These advancements offer sophisticated approaches to diversification and risk management while maintaining fundamental principles of risk-return optimization.</w:t>
      </w:r>
    </w:p>
    <w:p w14:paraId="24F8A62E" w14:textId="77777777" w:rsidR="00DE24D1" w:rsidRPr="000C26FA" w:rsidRDefault="00DE24D1" w:rsidP="00DE24D1">
      <w:pPr>
        <w:shd w:val="clear" w:color="auto" w:fill="FFFFFF"/>
        <w:spacing w:after="120" w:line="240" w:lineRule="auto"/>
        <w:ind w:firstLine="360"/>
        <w:jc w:val="both"/>
        <w:rPr>
          <w:rFonts w:ascii="Times New Roman" w:eastAsia="Times New Roman" w:hAnsi="Times New Roman" w:cs="Times New Roman"/>
          <w:sz w:val="20"/>
          <w:szCs w:val="20"/>
          <w:lang w:val="en-US"/>
        </w:rPr>
      </w:pPr>
      <w:r w:rsidRPr="000C26FA">
        <w:rPr>
          <w:rFonts w:ascii="Times New Roman" w:eastAsia="Times New Roman" w:hAnsi="Times New Roman" w:cs="Times New Roman"/>
          <w:sz w:val="20"/>
          <w:szCs w:val="20"/>
          <w:lang w:val="en-US"/>
        </w:rPr>
        <w:t>Technological solutions for portfolio management have made considerable progress, with multi-asset portfolio management systems [4] providing unified platforms for managing diverse investments while offering tailored advice based on individual risk tolerance factors. Similarly, research on power grid multi-project portfolio investment optimization demonstrates how specialized algorithms like RWCS can systematically enhance efficiency and profitability in sector-specific applications [10]. The application of agile methodologies, originally developed for software project management [1], has provided valuable lessons for portfolio management, particularly in adapting to rapidly changing market conditions. These frameworks enhance flexibility and improve success rates when applied to investment strategy development and implementation. Digital transformation has further expanded portfolio management considerations, particularly for IT investments [8], requiring systematic approaches to evaluation within broader business contexts.</w:t>
      </w:r>
    </w:p>
    <w:p w14:paraId="720BE7E8" w14:textId="77777777" w:rsidR="00DE24D1" w:rsidRPr="000C26FA" w:rsidRDefault="00DE24D1" w:rsidP="00DE24D1">
      <w:pPr>
        <w:shd w:val="clear" w:color="auto" w:fill="FFFFFF"/>
        <w:spacing w:after="120" w:line="240" w:lineRule="auto"/>
        <w:ind w:firstLine="360"/>
        <w:jc w:val="both"/>
        <w:rPr>
          <w:rFonts w:ascii="Times New Roman" w:eastAsia="Times New Roman" w:hAnsi="Times New Roman" w:cs="Times New Roman"/>
          <w:sz w:val="20"/>
          <w:szCs w:val="20"/>
          <w:lang w:val="en-US"/>
        </w:rPr>
      </w:pPr>
      <w:r w:rsidRPr="000C26FA">
        <w:rPr>
          <w:rFonts w:ascii="Times New Roman" w:eastAsia="Times New Roman" w:hAnsi="Times New Roman" w:cs="Times New Roman"/>
          <w:sz w:val="20"/>
          <w:szCs w:val="20"/>
          <w:lang w:val="en-US"/>
        </w:rPr>
        <w:t>The emergence of ESG-focused investing has introduced new dimensions to investment decision-</w:t>
      </w:r>
      <w:r w:rsidRPr="000C26FA">
        <w:rPr>
          <w:rFonts w:ascii="Times New Roman" w:eastAsia="Times New Roman" w:hAnsi="Times New Roman" w:cs="Times New Roman"/>
          <w:sz w:val="20"/>
          <w:szCs w:val="20"/>
          <w:lang w:val="en-US"/>
        </w:rPr>
        <w:t>making, with research highlighting the importance of balancing multiple factors in investment optimization [9]. Studies on ESG investing approaches demonstrate viable strategies for achieving superior returns while focusing on low ESG risk investments [11]. These findings emphasize that sustainable investing can be both profitable and aligned with broader societal goals. Regional considerations also play important roles in portfolio strategy development, as seen in research focused on Dubai's investment landscape [6], which provides valuable insights into how macroeconomic factors impact investment performance in specific markets. By integrating these diverse perspectives and methodologies, investors can develop comprehensive portfolio management strategies that balance financial returns with sustainability considerations while adapting to rapidly evolving market conditions. This holistic approach represents the frontier of investment theory and practice, offering pathways to both financial growth and positive environmental and social impact.</w:t>
      </w:r>
      <w:bookmarkEnd w:id="3"/>
    </w:p>
    <w:p w14:paraId="0242ACED" w14:textId="6C8A67F6" w:rsidR="00DE24D1" w:rsidRPr="0025301A" w:rsidRDefault="00DE24D1" w:rsidP="00DE24D1">
      <w:pPr>
        <w:shd w:val="clear" w:color="auto" w:fill="FFFFFF"/>
        <w:spacing w:after="120" w:line="240" w:lineRule="auto"/>
        <w:ind w:firstLine="360"/>
        <w:jc w:val="both"/>
        <w:rPr>
          <w:rFonts w:ascii="Times New Roman" w:eastAsia="Times New Roman" w:hAnsi="Times New Roman" w:cs="Times New Roman"/>
          <w:sz w:val="20"/>
          <w:szCs w:val="20"/>
        </w:rPr>
      </w:pPr>
      <w:r w:rsidRPr="0025301A">
        <w:rPr>
          <w:rFonts w:ascii="Times New Roman" w:eastAsia="Times New Roman" w:hAnsi="Times New Roman" w:cs="Times New Roman"/>
          <w:sz w:val="20"/>
          <w:szCs w:val="20"/>
        </w:rPr>
        <w:t xml:space="preserve">Parallel </w:t>
      </w:r>
      <w:r w:rsidR="0055284F" w:rsidRPr="0055284F">
        <w:rPr>
          <w:rFonts w:ascii="Times New Roman" w:eastAsia="Times New Roman" w:hAnsi="Times New Roman" w:cs="Times New Roman"/>
          <w:sz w:val="20"/>
          <w:szCs w:val="20"/>
        </w:rPr>
        <w:t>computing can be employed in ESG data processing and real-time portfolio optimization, especially when handling massive volumes of data from financial markets, sustainability reports, and social sentiment streams. It ensures low-latency responses for real-time user recommendations</w:t>
      </w:r>
      <w:r w:rsidRPr="0025301A">
        <w:rPr>
          <w:rFonts w:ascii="Times New Roman" w:eastAsia="Times New Roman" w:hAnsi="Times New Roman" w:cs="Times New Roman"/>
          <w:sz w:val="20"/>
          <w:szCs w:val="20"/>
        </w:rPr>
        <w:t>.</w:t>
      </w:r>
    </w:p>
    <w:p w14:paraId="52F0A809" w14:textId="14E84412" w:rsidR="00DE24D1" w:rsidRDefault="0055284F" w:rsidP="00DE24D1">
      <w:pPr>
        <w:shd w:val="clear" w:color="auto" w:fill="FFFFFF"/>
        <w:spacing w:after="120" w:line="240" w:lineRule="auto"/>
        <w:ind w:firstLine="360"/>
        <w:jc w:val="both"/>
        <w:rPr>
          <w:rFonts w:ascii="Times New Roman" w:eastAsia="Times New Roman" w:hAnsi="Times New Roman" w:cs="Times New Roman"/>
          <w:sz w:val="20"/>
          <w:szCs w:val="20"/>
        </w:rPr>
      </w:pPr>
      <w:r w:rsidRPr="0025301A">
        <w:rPr>
          <w:rFonts w:ascii="Times New Roman" w:eastAsia="Times New Roman" w:hAnsi="Times New Roman" w:cs="Times New Roman"/>
          <w:sz w:val="20"/>
          <w:szCs w:val="20"/>
        </w:rPr>
        <w:t>Just</w:t>
      </w:r>
      <w:r w:rsidRPr="0055284F">
        <w:rPr>
          <w:rFonts w:ascii="Times New Roman" w:eastAsia="Times New Roman" w:hAnsi="Times New Roman" w:cs="Times New Roman"/>
          <w:sz w:val="20"/>
          <w:szCs w:val="20"/>
        </w:rPr>
        <w:t xml:space="preserve"> as complex environments challenge visual detection, sustainable finance must operate under uncertain, volatile market conditions. Enhanced detection algorithms can be adapted for spotting subtle ESG anomalies or ethical red flags across noisy and incomplete datasets</w:t>
      </w:r>
      <w:r w:rsidR="00DE24D1" w:rsidRPr="0025301A">
        <w:rPr>
          <w:rFonts w:ascii="Times New Roman" w:eastAsia="Times New Roman" w:hAnsi="Times New Roman" w:cs="Times New Roman"/>
          <w:sz w:val="20"/>
          <w:szCs w:val="20"/>
        </w:rPr>
        <w:t>.</w:t>
      </w:r>
    </w:p>
    <w:p w14:paraId="756B33FD" w14:textId="64B536C4" w:rsidR="00DE24D1" w:rsidRPr="0038769A" w:rsidRDefault="00DE24D1" w:rsidP="00DE24D1">
      <w:pPr>
        <w:shd w:val="clear" w:color="auto" w:fill="FFFFFF"/>
        <w:spacing w:after="120" w:line="240" w:lineRule="auto"/>
        <w:ind w:firstLine="360"/>
        <w:jc w:val="both"/>
        <w:rPr>
          <w:rFonts w:ascii="Times New Roman" w:eastAsia="Times New Roman" w:hAnsi="Times New Roman" w:cs="Times New Roman"/>
          <w:sz w:val="20"/>
          <w:szCs w:val="20"/>
        </w:rPr>
      </w:pPr>
      <w:r w:rsidRPr="0038769A">
        <w:rPr>
          <w:rFonts w:ascii="Times New Roman" w:eastAsia="Times New Roman" w:hAnsi="Times New Roman" w:cs="Times New Roman"/>
          <w:sz w:val="20"/>
          <w:szCs w:val="20"/>
        </w:rPr>
        <w:t xml:space="preserve">This paper focuses on </w:t>
      </w:r>
      <w:r w:rsidR="0055284F" w:rsidRPr="0055284F">
        <w:rPr>
          <w:rFonts w:ascii="Times New Roman" w:eastAsia="Times New Roman" w:hAnsi="Times New Roman" w:cs="Times New Roman"/>
          <w:sz w:val="20"/>
          <w:szCs w:val="20"/>
        </w:rPr>
        <w:t>Similar deep learning methods using indirect signals (like light flow) can be used in your app to interpret ESG-related sentiment from sparse or non-standard sources (e.g., less-covered companies) using media activity and pattern recognition</w:t>
      </w:r>
      <w:r w:rsidRPr="0038769A">
        <w:rPr>
          <w:rFonts w:ascii="Times New Roman" w:eastAsia="Times New Roman" w:hAnsi="Times New Roman" w:cs="Times New Roman"/>
          <w:sz w:val="20"/>
          <w:szCs w:val="20"/>
        </w:rPr>
        <w:t>.</w:t>
      </w:r>
    </w:p>
    <w:p w14:paraId="2CB67622" w14:textId="3DA3087F" w:rsidR="00DE24D1" w:rsidRPr="0038769A" w:rsidRDefault="00DE24D1" w:rsidP="00DE24D1">
      <w:pPr>
        <w:shd w:val="clear" w:color="auto" w:fill="FFFFFF"/>
        <w:spacing w:after="120" w:line="240" w:lineRule="auto"/>
        <w:ind w:firstLine="360"/>
        <w:jc w:val="both"/>
        <w:rPr>
          <w:rFonts w:ascii="Times New Roman" w:eastAsia="Times New Roman" w:hAnsi="Times New Roman" w:cs="Times New Roman"/>
          <w:sz w:val="20"/>
          <w:szCs w:val="20"/>
        </w:rPr>
      </w:pPr>
      <w:r w:rsidRPr="0038769A">
        <w:rPr>
          <w:rFonts w:ascii="Times New Roman" w:eastAsia="Times New Roman" w:hAnsi="Times New Roman" w:cs="Times New Roman"/>
          <w:sz w:val="20"/>
          <w:szCs w:val="20"/>
        </w:rPr>
        <w:t xml:space="preserve">Analyzing the </w:t>
      </w:r>
      <w:r w:rsidR="0055284F" w:rsidRPr="0055284F">
        <w:rPr>
          <w:rFonts w:ascii="Times New Roman" w:eastAsia="Times New Roman" w:hAnsi="Times New Roman" w:cs="Times New Roman"/>
          <w:sz w:val="20"/>
          <w:szCs w:val="20"/>
        </w:rPr>
        <w:t>Sensor diversity parallels financial data sources—equities, ESG ratings, sentiment, etc. Understanding which "sensor" (data source) provides the best signal for certain ESG patterns can improve your app’s predictive performance.</w:t>
      </w:r>
    </w:p>
    <w:p w14:paraId="6EDECEB1" w14:textId="120EB0E6" w:rsidR="00DE24D1" w:rsidRPr="0038769A" w:rsidRDefault="00DE24D1" w:rsidP="00DE24D1">
      <w:pPr>
        <w:shd w:val="clear" w:color="auto" w:fill="FFFFFF"/>
        <w:spacing w:after="120" w:line="240" w:lineRule="auto"/>
        <w:ind w:firstLine="360"/>
        <w:jc w:val="both"/>
        <w:rPr>
          <w:rFonts w:ascii="Times New Roman" w:eastAsia="Times New Roman" w:hAnsi="Times New Roman" w:cs="Times New Roman"/>
          <w:sz w:val="20"/>
          <w:szCs w:val="20"/>
        </w:rPr>
      </w:pPr>
      <w:r w:rsidRPr="0038769A">
        <w:rPr>
          <w:rFonts w:ascii="Times New Roman" w:eastAsia="Times New Roman" w:hAnsi="Times New Roman" w:cs="Times New Roman"/>
          <w:sz w:val="20"/>
          <w:szCs w:val="20"/>
        </w:rPr>
        <w:t xml:space="preserve">This paper evaluates discovering </w:t>
      </w:r>
      <w:r w:rsidR="0055284F" w:rsidRPr="0055284F">
        <w:rPr>
          <w:rFonts w:ascii="Times New Roman" w:eastAsia="Times New Roman" w:hAnsi="Times New Roman" w:cs="Times New Roman"/>
          <w:sz w:val="20"/>
          <w:szCs w:val="20"/>
        </w:rPr>
        <w:t>user behavior through anonymized app interaction patterns can inform portfolio personalization without compromising privacy, mirroring the anonymized traffic analysis for SaaS.</w:t>
      </w:r>
    </w:p>
    <w:p w14:paraId="74AC3C0E" w14:textId="319E4516" w:rsidR="00DE24D1" w:rsidRPr="0038769A" w:rsidRDefault="0055284F" w:rsidP="00DE24D1">
      <w:pPr>
        <w:shd w:val="clear" w:color="auto" w:fill="FFFFFF"/>
        <w:spacing w:after="120" w:line="240" w:lineRule="auto"/>
        <w:ind w:firstLine="360"/>
        <w:jc w:val="both"/>
        <w:rPr>
          <w:rFonts w:ascii="Times New Roman" w:eastAsia="Times New Roman" w:hAnsi="Times New Roman" w:cs="Times New Roman"/>
          <w:sz w:val="20"/>
          <w:szCs w:val="20"/>
        </w:rPr>
      </w:pPr>
      <w:r w:rsidRPr="0055284F">
        <w:rPr>
          <w:rFonts w:ascii="Times New Roman" w:eastAsia="Times New Roman" w:hAnsi="Times New Roman" w:cs="Times New Roman"/>
          <w:sz w:val="20"/>
          <w:szCs w:val="20"/>
        </w:rPr>
        <w:t>Analogous to ESG ambiguity, “hazy” financial or sustainability data can reduce prediction confidence. Techniques to handle uncertainty and enhance signal clarity can be adapted to improve ESG score reliability in unclear reporting conditions</w:t>
      </w:r>
      <w:r w:rsidR="00DE24D1" w:rsidRPr="0038769A">
        <w:rPr>
          <w:rFonts w:ascii="Times New Roman" w:eastAsia="Times New Roman" w:hAnsi="Times New Roman" w:cs="Times New Roman"/>
          <w:sz w:val="20"/>
          <w:szCs w:val="20"/>
        </w:rPr>
        <w:t xml:space="preserve">. </w:t>
      </w:r>
      <w:r w:rsidRPr="0055284F">
        <w:rPr>
          <w:rFonts w:ascii="Times New Roman" w:eastAsia="Times New Roman" w:hAnsi="Times New Roman" w:cs="Times New Roman"/>
          <w:sz w:val="20"/>
          <w:szCs w:val="20"/>
        </w:rPr>
        <w:t>Data fusion (e.g., ESG metrics + sentiment analysis + market signals) is critical for comprehensive risk detection in portfolios. Just as multiple visual modalities improve event detection, integrating multiple financial and non-financial data types can enhance investment insight</w:t>
      </w:r>
      <w:r w:rsidRPr="0055284F">
        <w:t xml:space="preserve"> </w:t>
      </w:r>
      <w:r w:rsidRPr="0055284F">
        <w:rPr>
          <w:rFonts w:ascii="Times New Roman" w:eastAsia="Times New Roman" w:hAnsi="Times New Roman" w:cs="Times New Roman"/>
          <w:sz w:val="20"/>
          <w:szCs w:val="20"/>
        </w:rPr>
        <w:t>Creating or using benchmark datasets with labeled ESG controversies or greenwashing cases can help train robust anomaly detection models for identifying unethical firms or funds within portfolios</w:t>
      </w:r>
      <w:r w:rsidR="00DE24D1" w:rsidRPr="0038769A">
        <w:rPr>
          <w:rFonts w:ascii="Times New Roman" w:eastAsia="Times New Roman" w:hAnsi="Times New Roman" w:cs="Times New Roman"/>
          <w:sz w:val="20"/>
          <w:szCs w:val="20"/>
        </w:rPr>
        <w:t>.</w:t>
      </w:r>
    </w:p>
    <w:p w14:paraId="4F2BDA80" w14:textId="77777777" w:rsidR="00DE24D1" w:rsidRDefault="00DE24D1" w:rsidP="00DE24D1">
      <w:pPr>
        <w:numPr>
          <w:ilvl w:val="0"/>
          <w:numId w:val="4"/>
        </w:numPr>
        <w:shd w:val="clear" w:color="auto" w:fill="FFFFFF"/>
        <w:spacing w:before="160" w:after="80" w:line="240" w:lineRule="auto"/>
        <w:jc w:val="center"/>
        <w:rPr>
          <w:rFonts w:ascii="Times New Roman" w:eastAsia="Times New Roman" w:hAnsi="Times New Roman" w:cs="Times New Roman"/>
          <w:sz w:val="20"/>
          <w:szCs w:val="20"/>
          <w:highlight w:val="white"/>
        </w:rPr>
      </w:pPr>
      <w:r>
        <w:rPr>
          <w:rFonts w:ascii="Times New Roman" w:eastAsia="Times New Roman" w:hAnsi="Times New Roman" w:cs="Times New Roman"/>
          <w:sz w:val="20"/>
          <w:szCs w:val="20"/>
          <w:highlight w:val="white"/>
        </w:rPr>
        <w:lastRenderedPageBreak/>
        <w:t>METHODOLOGY</w:t>
      </w:r>
    </w:p>
    <w:p w14:paraId="2B05AA8A" w14:textId="1EE23C1A" w:rsidR="00DE24D1" w:rsidRPr="00DE24D1" w:rsidRDefault="00DE24D1" w:rsidP="00DE24D1">
      <w:pPr>
        <w:shd w:val="clear" w:color="auto" w:fill="FFFFFF"/>
        <w:spacing w:after="120"/>
        <w:ind w:firstLine="288"/>
        <w:jc w:val="both"/>
        <w:rPr>
          <w:rFonts w:ascii="Times New Roman" w:hAnsi="Times New Roman" w:cs="Times New Roman"/>
          <w:sz w:val="20"/>
          <w:szCs w:val="20"/>
          <w:lang w:val="en-US"/>
        </w:rPr>
      </w:pPr>
      <w:r w:rsidRPr="00DE24D1">
        <w:rPr>
          <w:rFonts w:ascii="Times New Roman" w:hAnsi="Times New Roman" w:cs="Times New Roman"/>
          <w:sz w:val="20"/>
          <w:szCs w:val="20"/>
          <w:lang w:val="en-US"/>
        </w:rPr>
        <w:t>The Sustainable Investment Portfolio App adopts a modular and AI-driven architecture that integrates ESG (Environmental, Social, Governance) analysis, personalized investment recommendations, and real-time sentiment insights to facilitate responsible and data-backed investment decisions. The system comprises three principal modules: the Investment Analysis Module, the User Interaction Module, and the Data Integration &amp; Recommendation Engine, each playing a pivotal role in the holistic user experience and operational effectiveness.</w:t>
      </w:r>
    </w:p>
    <w:p w14:paraId="136C3751" w14:textId="77777777" w:rsidR="00DE24D1" w:rsidRPr="00DE24D1" w:rsidRDefault="00DE24D1"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DE24D1">
        <w:rPr>
          <w:rFonts w:ascii="Times New Roman" w:eastAsia="Times New Roman" w:hAnsi="Times New Roman" w:cs="Times New Roman"/>
          <w:b/>
          <w:bCs/>
          <w:sz w:val="20"/>
          <w:szCs w:val="20"/>
          <w:lang w:val="en-US"/>
        </w:rPr>
        <w:t>A. Investment Analysis Module:</w:t>
      </w:r>
    </w:p>
    <w:p w14:paraId="3992E755" w14:textId="661C2390" w:rsidR="00DE24D1" w:rsidRPr="00DE24D1" w:rsidRDefault="00DE24D1"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DE24D1">
        <w:rPr>
          <w:rFonts w:ascii="Times New Roman" w:eastAsia="Times New Roman" w:hAnsi="Times New Roman" w:cs="Times New Roman"/>
          <w:sz w:val="20"/>
          <w:szCs w:val="20"/>
          <w:lang w:val="en-US"/>
        </w:rPr>
        <w:t>This core module employs advanced machine learning and data science techniques to process and analyze vast financial and ESG datasets. It begins with robust data collection pipelines that fetch structured and unstructured data from trusted sources including stock exchanges, ESG data providers, cryptocurrency feeds, and social media APIs. After data cleaning, normalization, and outlier handling, time-series transformation is applied to prepare the data for predictive modeling. NLP techniques are used to derive insights from sentiment-based sources.</w:t>
      </w:r>
    </w:p>
    <w:p w14:paraId="53C1779A" w14:textId="77777777" w:rsidR="00DE24D1" w:rsidRPr="00DE24D1" w:rsidRDefault="00DE24D1"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DE24D1">
        <w:rPr>
          <w:rFonts w:ascii="Times New Roman" w:eastAsia="Times New Roman" w:hAnsi="Times New Roman" w:cs="Times New Roman"/>
          <w:sz w:val="20"/>
          <w:szCs w:val="20"/>
          <w:lang w:val="en-US"/>
        </w:rPr>
        <w:t xml:space="preserve">The analytical core consists of ML algorithms such as Random Forest, </w:t>
      </w:r>
      <w:proofErr w:type="spellStart"/>
      <w:r w:rsidRPr="00DE24D1">
        <w:rPr>
          <w:rFonts w:ascii="Times New Roman" w:eastAsia="Times New Roman" w:hAnsi="Times New Roman" w:cs="Times New Roman"/>
          <w:sz w:val="20"/>
          <w:szCs w:val="20"/>
          <w:lang w:val="en-US"/>
        </w:rPr>
        <w:t>XGBoost</w:t>
      </w:r>
      <w:proofErr w:type="spellEnd"/>
      <w:r w:rsidRPr="00DE24D1">
        <w:rPr>
          <w:rFonts w:ascii="Times New Roman" w:eastAsia="Times New Roman" w:hAnsi="Times New Roman" w:cs="Times New Roman"/>
          <w:sz w:val="20"/>
          <w:szCs w:val="20"/>
          <w:lang w:val="en-US"/>
        </w:rPr>
        <w:t>, and LSTM, trained on historical data and ESG metrics. Ensemble methods enhance model robustness, and hyperparameter tuning with cross-validation is used for optimization. These models generate forecasts on asset returns, ESG risk exposure, and sustainability alignment. Personalized portfolio recommendations are generated based on user inputs like risk appetite and ethical preferences, with each suggestion accompanied by confidence scores for transparency.</w:t>
      </w:r>
    </w:p>
    <w:p w14:paraId="401632FA" w14:textId="77777777" w:rsidR="00DE24D1" w:rsidRPr="00DE24D1" w:rsidRDefault="00DE24D1"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DE24D1">
        <w:rPr>
          <w:rFonts w:ascii="Times New Roman" w:eastAsia="Times New Roman" w:hAnsi="Times New Roman" w:cs="Times New Roman"/>
          <w:b/>
          <w:bCs/>
          <w:sz w:val="20"/>
          <w:szCs w:val="20"/>
          <w:lang w:val="en-US"/>
        </w:rPr>
        <w:t>B. User Interaction Module:</w:t>
      </w:r>
    </w:p>
    <w:p w14:paraId="2EAE671B" w14:textId="77777777" w:rsidR="00DE24D1" w:rsidRPr="00DE24D1" w:rsidRDefault="00DE24D1"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DE24D1">
        <w:rPr>
          <w:rFonts w:ascii="Times New Roman" w:eastAsia="Times New Roman" w:hAnsi="Times New Roman" w:cs="Times New Roman"/>
          <w:sz w:val="20"/>
          <w:szCs w:val="20"/>
          <w:lang w:val="en-US"/>
        </w:rPr>
        <w:t>The application offers a seamless, multilingual, and inclusive interface for web and mobile platforms. It allows users to input investment goals, view real-time analytics, and interact with personalized suggestions. Accessibility features like voice navigation and screen-reader compatibility expand its usability. Users can bookmark sustainable investments, take notes on portfolio strategies, and share achievements on social media, encouraging community engagement and ethical financial education.</w:t>
      </w:r>
    </w:p>
    <w:p w14:paraId="73B638D1" w14:textId="77777777" w:rsidR="00DE24D1" w:rsidRPr="00DE24D1" w:rsidRDefault="00DE24D1"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DE24D1">
        <w:rPr>
          <w:rFonts w:ascii="Times New Roman" w:eastAsia="Times New Roman" w:hAnsi="Times New Roman" w:cs="Times New Roman"/>
          <w:b/>
          <w:bCs/>
          <w:sz w:val="20"/>
          <w:szCs w:val="20"/>
          <w:lang w:val="en-US"/>
        </w:rPr>
        <w:t>C. Data Integration &amp; Recommendation Engine:</w:t>
      </w:r>
    </w:p>
    <w:p w14:paraId="30AEAB1A" w14:textId="77777777" w:rsidR="00DE24D1" w:rsidRDefault="00DE24D1"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DE24D1">
        <w:rPr>
          <w:rFonts w:ascii="Times New Roman" w:eastAsia="Times New Roman" w:hAnsi="Times New Roman" w:cs="Times New Roman"/>
          <w:sz w:val="20"/>
          <w:szCs w:val="20"/>
          <w:lang w:val="en-US"/>
        </w:rPr>
        <w:t>At the heart of the app lies the Data Integration &amp; Recommendation Engine, a centralized intelligence hub. It continuously aggregates financial and ESG data through verified APIs and maintains a scalable database for efficient querying. The recommendation engine applies AI-based algorithms aligned with Modern Portfolio Theory and Reinforcement Learning to ensure optimal asset allocation across stocks, bonds, and cryptocurrencies, factoring in both ESG impact and financial performance. The engine supports dynamic portfolio rebalancing and adapts to market changes and user feedback through continuous learning cycles.</w:t>
      </w:r>
    </w:p>
    <w:p w14:paraId="18E8C1F0" w14:textId="77777777" w:rsidR="0055284F" w:rsidRPr="00DE24D1" w:rsidRDefault="0055284F"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p>
    <w:p w14:paraId="37E6E3FB" w14:textId="77777777" w:rsidR="00DE24D1" w:rsidRPr="00DE24D1" w:rsidRDefault="00DE24D1"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DE24D1">
        <w:rPr>
          <w:rFonts w:ascii="Times New Roman" w:eastAsia="Times New Roman" w:hAnsi="Times New Roman" w:cs="Times New Roman"/>
          <w:b/>
          <w:bCs/>
          <w:sz w:val="20"/>
          <w:szCs w:val="20"/>
          <w:lang w:val="en-US"/>
        </w:rPr>
        <w:t>D. System Output and Performance:</w:t>
      </w:r>
    </w:p>
    <w:p w14:paraId="2FC4DE5D" w14:textId="112B9A0C" w:rsidR="00DE24D1" w:rsidRPr="00DE24D1" w:rsidRDefault="00DE24D1" w:rsidP="00DE24D1">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DE24D1">
        <w:rPr>
          <w:rFonts w:ascii="Times New Roman" w:eastAsia="Times New Roman" w:hAnsi="Times New Roman" w:cs="Times New Roman"/>
          <w:sz w:val="20"/>
          <w:szCs w:val="20"/>
          <w:lang w:val="en-US"/>
        </w:rPr>
        <w:t>The system delivers actionable outputs including real-time portfolio dashboards, ESG impact visualizations, and annotated investment recommendations. The machine learning-driven recommendation engine achieved over 90% accuracy during testing</w:t>
      </w:r>
      <w:r w:rsidR="0055284F">
        <w:rPr>
          <w:rFonts w:ascii="Times New Roman" w:eastAsia="Times New Roman" w:hAnsi="Times New Roman" w:cs="Times New Roman"/>
          <w:sz w:val="20"/>
          <w:szCs w:val="20"/>
          <w:lang w:val="en-US"/>
        </w:rPr>
        <w:t xml:space="preserve">, providing </w:t>
      </w:r>
      <w:r w:rsidRPr="00DE24D1">
        <w:rPr>
          <w:rFonts w:ascii="Times New Roman" w:eastAsia="Times New Roman" w:hAnsi="Times New Roman" w:cs="Times New Roman"/>
          <w:sz w:val="20"/>
          <w:szCs w:val="20"/>
          <w:lang w:val="en-US"/>
        </w:rPr>
        <w:t>reliable suggestions with explainable metrics. The app's intelligent infrastructure empowers users to align their financial growth with sustainability objectives, enabling informed decisions in the evolving domain of sustainable finance.</w:t>
      </w:r>
    </w:p>
    <w:p w14:paraId="6122BFCC" w14:textId="3464C844" w:rsidR="00DE24D1" w:rsidRPr="00392B01" w:rsidRDefault="0055284F" w:rsidP="0055284F">
      <w:pPr>
        <w:shd w:val="clear" w:color="auto" w:fill="FFFFFF"/>
        <w:spacing w:after="120" w:line="240" w:lineRule="auto"/>
        <w:jc w:val="both"/>
        <w:rPr>
          <w:rFonts w:ascii="Times New Roman" w:eastAsia="Times New Roman" w:hAnsi="Times New Roman" w:cs="Times New Roman"/>
          <w:sz w:val="20"/>
          <w:szCs w:val="20"/>
        </w:rPr>
      </w:pPr>
      <w:r>
        <w:rPr>
          <w:noProof/>
        </w:rPr>
        <w:drawing>
          <wp:anchor distT="0" distB="0" distL="0" distR="0" simplePos="0" relativeHeight="251659264" behindDoc="0" locked="0" layoutInCell="0" allowOverlap="1" wp14:anchorId="7A0E632F" wp14:editId="41BD5C97">
            <wp:simplePos x="0" y="0"/>
            <wp:positionH relativeFrom="column">
              <wp:posOffset>86360</wp:posOffset>
            </wp:positionH>
            <wp:positionV relativeFrom="paragraph">
              <wp:posOffset>231775</wp:posOffset>
            </wp:positionV>
            <wp:extent cx="2936875" cy="1288415"/>
            <wp:effectExtent l="0" t="0" r="0" b="6985"/>
            <wp:wrapSquare wrapText="largest"/>
            <wp:docPr id="1" name="Image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screenshot of a phone&#10;&#10;AI-generated content may be incorrect."/>
                    <pic:cNvPicPr>
                      <a:picLocks noChangeAspect="1" noChangeArrowheads="1"/>
                    </pic:cNvPicPr>
                  </pic:nvPicPr>
                  <pic:blipFill>
                    <a:blip r:embed="rId13"/>
                    <a:stretch>
                      <a:fillRect/>
                    </a:stretch>
                  </pic:blipFill>
                  <pic:spPr bwMode="auto">
                    <a:xfrm>
                      <a:off x="0" y="0"/>
                      <a:ext cx="2936875" cy="1288415"/>
                    </a:xfrm>
                    <a:prstGeom prst="rect">
                      <a:avLst/>
                    </a:prstGeom>
                    <a:noFill/>
                  </pic:spPr>
                </pic:pic>
              </a:graphicData>
            </a:graphic>
            <wp14:sizeRelH relativeFrom="margin">
              <wp14:pctWidth>0</wp14:pctWidth>
            </wp14:sizeRelH>
            <wp14:sizeRelV relativeFrom="margin">
              <wp14:pctHeight>0</wp14:pctHeight>
            </wp14:sizeRelV>
          </wp:anchor>
        </w:drawing>
      </w:r>
    </w:p>
    <w:p w14:paraId="5D37577E" w14:textId="77777777" w:rsidR="00DE24D1" w:rsidRDefault="00DE24D1" w:rsidP="00DE24D1">
      <w:pPr>
        <w:shd w:val="clear" w:color="auto" w:fill="FFFFFF"/>
        <w:spacing w:after="120" w:line="240" w:lineRule="auto"/>
        <w:jc w:val="center"/>
        <w:rPr>
          <w:rFonts w:ascii="Times New Roman" w:eastAsia="Times New Roman" w:hAnsi="Times New Roman" w:cs="Times New Roman"/>
          <w:b/>
          <w:bCs/>
          <w:i/>
          <w:iCs/>
          <w:color w:val="202020"/>
          <w:sz w:val="18"/>
          <w:szCs w:val="18"/>
        </w:rPr>
      </w:pPr>
      <w:r w:rsidRPr="009930FB">
        <w:rPr>
          <w:rFonts w:ascii="Times New Roman" w:eastAsia="Times New Roman" w:hAnsi="Times New Roman" w:cs="Times New Roman"/>
          <w:b/>
          <w:bCs/>
          <w:i/>
          <w:iCs/>
          <w:color w:val="202020"/>
          <w:sz w:val="18"/>
          <w:szCs w:val="18"/>
        </w:rPr>
        <w:t>Fig. 1: Architecture Diagram</w:t>
      </w:r>
    </w:p>
    <w:p w14:paraId="2F24673F" w14:textId="77777777" w:rsidR="00DE24D1" w:rsidRDefault="00DE24D1" w:rsidP="00DE24D1">
      <w:pPr>
        <w:shd w:val="clear" w:color="auto" w:fill="FFFFFF"/>
        <w:spacing w:after="120" w:line="240" w:lineRule="auto"/>
        <w:jc w:val="center"/>
        <w:rPr>
          <w:rFonts w:ascii="Times New Roman" w:eastAsia="Times New Roman" w:hAnsi="Times New Roman" w:cs="Times New Roman"/>
          <w:b/>
          <w:bCs/>
          <w:i/>
          <w:iCs/>
          <w:color w:val="202020"/>
          <w:sz w:val="18"/>
          <w:szCs w:val="18"/>
        </w:rPr>
      </w:pPr>
    </w:p>
    <w:p w14:paraId="2299BA00" w14:textId="77777777" w:rsidR="00DE24D1" w:rsidRDefault="00DE24D1" w:rsidP="00DE24D1">
      <w:pPr>
        <w:numPr>
          <w:ilvl w:val="0"/>
          <w:numId w:val="4"/>
        </w:numPr>
        <w:shd w:val="clear" w:color="auto" w:fill="FFFFFF"/>
        <w:spacing w:before="160" w:after="8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RESULT AND ANALYSIS</w:t>
      </w:r>
    </w:p>
    <w:p w14:paraId="7C283118" w14:textId="3C1E23E7" w:rsidR="00BE289D" w:rsidRDefault="005124BC" w:rsidP="00BE289D">
      <w:pPr>
        <w:shd w:val="clear" w:color="auto" w:fill="FFFFFF"/>
        <w:spacing w:after="120" w:line="240" w:lineRule="auto"/>
        <w:ind w:firstLine="288"/>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rPr>
        <w:t xml:space="preserve">The </w:t>
      </w:r>
      <w:r w:rsidR="00BE289D" w:rsidRPr="00BE289D">
        <w:rPr>
          <w:rFonts w:ascii="Times New Roman" w:eastAsia="Times New Roman" w:hAnsi="Times New Roman" w:cs="Times New Roman"/>
          <w:sz w:val="20"/>
          <w:szCs w:val="20"/>
          <w:lang w:val="en-US"/>
        </w:rPr>
        <w:t>deployed Sustainable Investment Portfolio application delivered promising results, showing high accuracy in both ESG risk analysis and investment classification. During testing, the system was exposed to varied user profiles, financial inputs, and simulated market scenarios. Even with complex and diversified asset mixes, the data handling pipeline reliably processed and categorized assets within the defined ESG framework.</w:t>
      </w:r>
    </w:p>
    <w:p w14:paraId="6EDDBA21" w14:textId="2063B86D" w:rsidR="003C5340" w:rsidRDefault="003C5340" w:rsidP="00BE289D">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3C5340">
        <w:rPr>
          <w:rFonts w:ascii="Times New Roman" w:eastAsia="Times New Roman" w:hAnsi="Times New Roman" w:cs="Times New Roman"/>
          <w:sz w:val="20"/>
          <w:szCs w:val="20"/>
          <w:lang w:val="en-US"/>
        </w:rPr>
        <w:drawing>
          <wp:inline distT="0" distB="0" distL="0" distR="0" wp14:anchorId="2CA6EC77" wp14:editId="36F94744">
            <wp:extent cx="2792095" cy="1077595"/>
            <wp:effectExtent l="0" t="0" r="8255" b="8255"/>
            <wp:docPr id="1696594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94958" name="Picture 1" descr="A screenshot of a computer&#10;&#10;AI-generated content may be incorrect."/>
                    <pic:cNvPicPr/>
                  </pic:nvPicPr>
                  <pic:blipFill>
                    <a:blip r:embed="rId14"/>
                    <a:stretch>
                      <a:fillRect/>
                    </a:stretch>
                  </pic:blipFill>
                  <pic:spPr>
                    <a:xfrm>
                      <a:off x="0" y="0"/>
                      <a:ext cx="2792095" cy="1077595"/>
                    </a:xfrm>
                    <a:prstGeom prst="rect">
                      <a:avLst/>
                    </a:prstGeom>
                  </pic:spPr>
                </pic:pic>
              </a:graphicData>
            </a:graphic>
          </wp:inline>
        </w:drawing>
      </w:r>
    </w:p>
    <w:p w14:paraId="23EB9256" w14:textId="3CB54B5A" w:rsidR="003C5340" w:rsidRPr="00BE289D" w:rsidRDefault="003C5340" w:rsidP="003C5340">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3C5340">
        <w:rPr>
          <w:rFonts w:ascii="Times New Roman" w:hAnsi="Times New Roman" w:cs="Times New Roman"/>
          <w:b/>
          <w:bCs/>
          <w:i/>
          <w:iCs/>
          <w:sz w:val="18"/>
          <w:szCs w:val="18"/>
        </w:rPr>
        <w:t>Fig</w:t>
      </w:r>
      <w:r>
        <w:rPr>
          <w:rFonts w:ascii="Times New Roman" w:hAnsi="Times New Roman" w:cs="Times New Roman"/>
          <w:b/>
          <w:bCs/>
          <w:i/>
          <w:iCs/>
          <w:sz w:val="18"/>
          <w:szCs w:val="18"/>
        </w:rPr>
        <w:t xml:space="preserve"> 1:</w:t>
      </w:r>
      <w:r w:rsidRPr="003C5340">
        <w:rPr>
          <w:rFonts w:ascii="Times New Roman" w:hAnsi="Times New Roman" w:cs="Times New Roman"/>
          <w:b/>
          <w:bCs/>
          <w:i/>
          <w:iCs/>
          <w:sz w:val="18"/>
          <w:szCs w:val="18"/>
        </w:rPr>
        <w:t xml:space="preserve"> Comparison of Actual and Predicted ESG Scores </w:t>
      </w:r>
    </w:p>
    <w:p w14:paraId="2CF054C4" w14:textId="77777777" w:rsidR="00BE289D" w:rsidRPr="00BE289D" w:rsidRDefault="00BE289D" w:rsidP="00BE289D">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BE289D">
        <w:rPr>
          <w:rFonts w:ascii="Times New Roman" w:eastAsia="Times New Roman" w:hAnsi="Times New Roman" w:cs="Times New Roman"/>
          <w:sz w:val="20"/>
          <w:szCs w:val="20"/>
          <w:lang w:val="en-US"/>
        </w:rPr>
        <w:t>Leveraging state-of-the-art AI models via the OpenAI API, the system was able to generate contextual investment insights and sustainability suggestions in real time with low latency—meeting the responsiveness needed for interactive financial planning. The integrated data tracker effectively monitored user selections across multiple sessions, ensuring continuity and personalization in recommendations.</w:t>
      </w:r>
    </w:p>
    <w:p w14:paraId="1AF09E2D" w14:textId="25358AB3" w:rsidR="00BE289D" w:rsidRPr="00BE289D" w:rsidRDefault="005124BC" w:rsidP="00BE289D">
      <w:pPr>
        <w:shd w:val="clear" w:color="auto" w:fill="FFFFFF"/>
        <w:spacing w:after="120" w:line="240" w:lineRule="auto"/>
        <w:ind w:firstLine="288"/>
        <w:jc w:val="both"/>
        <w:rPr>
          <w:rFonts w:ascii="Times New Roman" w:eastAsia="Times New Roman" w:hAnsi="Times New Roman" w:cs="Times New Roman"/>
          <w:sz w:val="20"/>
          <w:szCs w:val="20"/>
          <w:lang w:val="en-US"/>
        </w:rPr>
      </w:pPr>
      <w:r>
        <w:rPr>
          <w:rFonts w:ascii="Times New Roman" w:eastAsia="Times New Roman" w:hAnsi="Times New Roman" w:cs="Times New Roman"/>
          <w:sz w:val="20"/>
          <w:szCs w:val="20"/>
          <w:lang w:val="en-US"/>
        </w:rPr>
        <w:t>Predictive</w:t>
      </w:r>
      <w:r w:rsidR="00BE289D" w:rsidRPr="00BE289D">
        <w:rPr>
          <w:rFonts w:ascii="Times New Roman" w:eastAsia="Times New Roman" w:hAnsi="Times New Roman" w:cs="Times New Roman"/>
          <w:sz w:val="20"/>
          <w:szCs w:val="20"/>
          <w:lang w:val="en-US"/>
        </w:rPr>
        <w:t xml:space="preserve"> modeling and rule-based ESG tagging, the platform accurately assessed potential risk violations in a portfolio, such as overexposure to high-risk sectors. Using Pandas and NumPy, the backend was optimized for consistent performance even with dense financial datasets. The risk-level classification maintained high accuracy, even under limited user input or simulated API disruptions.</w:t>
      </w:r>
    </w:p>
    <w:p w14:paraId="1BF0D5F4" w14:textId="1216BDA3" w:rsidR="00BE289D" w:rsidRPr="00BE289D" w:rsidRDefault="00BE289D" w:rsidP="00BE289D">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BE289D">
        <w:rPr>
          <w:rFonts w:ascii="Times New Roman" w:eastAsia="Times New Roman" w:hAnsi="Times New Roman" w:cs="Times New Roman"/>
          <w:sz w:val="20"/>
          <w:szCs w:val="20"/>
          <w:lang w:val="en-US"/>
        </w:rPr>
        <w:t xml:space="preserve">Moreover, the application clearly distinguished between sustainable and non-sustainable investments using </w:t>
      </w:r>
      <w:r w:rsidRPr="00BE289D">
        <w:rPr>
          <w:rFonts w:ascii="Times New Roman" w:eastAsia="Times New Roman" w:hAnsi="Times New Roman" w:cs="Times New Roman"/>
          <w:sz w:val="20"/>
          <w:szCs w:val="20"/>
          <w:lang w:val="en-US"/>
        </w:rPr>
        <w:lastRenderedPageBreak/>
        <w:t xml:space="preserve">a well-defined region of interest tied to ESG criteria. The visualization components, powered by </w:t>
      </w:r>
      <w:proofErr w:type="spellStart"/>
      <w:proofErr w:type="gramStart"/>
      <w:r w:rsidRPr="00BE289D">
        <w:rPr>
          <w:rFonts w:ascii="Times New Roman" w:eastAsia="Times New Roman" w:hAnsi="Times New Roman" w:cs="Times New Roman"/>
          <w:sz w:val="20"/>
          <w:szCs w:val="20"/>
          <w:lang w:val="en-US"/>
        </w:rPr>
        <w:t>Plotly</w:t>
      </w:r>
      <w:proofErr w:type="spellEnd"/>
      <w:r w:rsidR="005124BC">
        <w:rPr>
          <w:rFonts w:ascii="Times New Roman" w:eastAsia="Times New Roman" w:hAnsi="Times New Roman" w:cs="Times New Roman"/>
          <w:sz w:val="20"/>
          <w:szCs w:val="20"/>
          <w:lang w:val="en-US"/>
        </w:rPr>
        <w:t xml:space="preserve"> </w:t>
      </w:r>
      <w:r w:rsidRPr="00BE289D">
        <w:rPr>
          <w:rFonts w:ascii="Times New Roman" w:eastAsia="Times New Roman" w:hAnsi="Times New Roman" w:cs="Times New Roman"/>
          <w:sz w:val="20"/>
          <w:szCs w:val="20"/>
          <w:lang w:val="en-US"/>
        </w:rPr>
        <w:t>,</w:t>
      </w:r>
      <w:proofErr w:type="gramEnd"/>
      <w:r w:rsidRPr="00BE289D">
        <w:rPr>
          <w:rFonts w:ascii="Times New Roman" w:eastAsia="Times New Roman" w:hAnsi="Times New Roman" w:cs="Times New Roman"/>
          <w:sz w:val="20"/>
          <w:szCs w:val="20"/>
          <w:lang w:val="en-US"/>
        </w:rPr>
        <w:t xml:space="preserve"> offered clear insight into risk exposure and portfolio composition—helping users make informed decisions. Even under low connectivity or restricted device performance, the system ensured accurate, visually intuitive, and reliable portfolio analysis.</w:t>
      </w:r>
    </w:p>
    <w:p w14:paraId="2C242348" w14:textId="014CAE90" w:rsidR="0055284F" w:rsidRDefault="0055284F" w:rsidP="00BE289D">
      <w:pPr>
        <w:shd w:val="clear" w:color="auto" w:fill="FFFFFF"/>
        <w:spacing w:after="120" w:line="240" w:lineRule="auto"/>
        <w:ind w:firstLine="288"/>
        <w:jc w:val="both"/>
        <w:rPr>
          <w:rFonts w:ascii="Times New Roman" w:eastAsia="Times New Roman" w:hAnsi="Times New Roman" w:cs="Times New Roman"/>
          <w:sz w:val="20"/>
          <w:szCs w:val="20"/>
        </w:rPr>
      </w:pPr>
    </w:p>
    <w:p w14:paraId="654EFB8B" w14:textId="77777777" w:rsidR="0055284F" w:rsidRDefault="0055284F" w:rsidP="00DE24D1">
      <w:pPr>
        <w:shd w:val="clear" w:color="auto" w:fill="FFFFFF"/>
        <w:spacing w:after="120" w:line="240" w:lineRule="auto"/>
        <w:ind w:firstLine="288"/>
        <w:jc w:val="both"/>
        <w:rPr>
          <w:rFonts w:ascii="Times New Roman" w:eastAsia="Times New Roman" w:hAnsi="Times New Roman" w:cs="Times New Roman"/>
          <w:sz w:val="20"/>
          <w:szCs w:val="20"/>
        </w:rPr>
      </w:pPr>
    </w:p>
    <w:p w14:paraId="592980C9" w14:textId="77777777" w:rsidR="00A80856" w:rsidRDefault="00A80856" w:rsidP="00DE24D1">
      <w:pPr>
        <w:jc w:val="center"/>
        <w:rPr>
          <w:rFonts w:ascii="Times New Roman" w:hAnsi="Times New Roman" w:cs="Times New Roman"/>
          <w:b/>
          <w:bCs/>
          <w:i/>
          <w:iCs/>
          <w:sz w:val="18"/>
          <w:szCs w:val="18"/>
        </w:rPr>
      </w:pPr>
      <w:r w:rsidRPr="00A80856">
        <w:rPr>
          <w:rFonts w:ascii="Times New Roman" w:hAnsi="Times New Roman" w:cs="Times New Roman"/>
          <w:b/>
          <w:bCs/>
          <w:i/>
          <w:iCs/>
          <w:noProof/>
          <w:sz w:val="18"/>
          <w:szCs w:val="18"/>
        </w:rPr>
        <w:drawing>
          <wp:inline distT="0" distB="0" distL="0" distR="0" wp14:anchorId="3925C811" wp14:editId="26808413">
            <wp:extent cx="2983865" cy="841375"/>
            <wp:effectExtent l="0" t="0" r="6985" b="0"/>
            <wp:docPr id="11537223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22395" name="Picture 1" descr="A screenshot of a computer screen&#10;&#10;AI-generated content may be incorrect."/>
                    <pic:cNvPicPr/>
                  </pic:nvPicPr>
                  <pic:blipFill>
                    <a:blip r:embed="rId15"/>
                    <a:stretch>
                      <a:fillRect/>
                    </a:stretch>
                  </pic:blipFill>
                  <pic:spPr>
                    <a:xfrm>
                      <a:off x="0" y="0"/>
                      <a:ext cx="2983865" cy="841375"/>
                    </a:xfrm>
                    <a:prstGeom prst="rect">
                      <a:avLst/>
                    </a:prstGeom>
                  </pic:spPr>
                </pic:pic>
              </a:graphicData>
            </a:graphic>
          </wp:inline>
        </w:drawing>
      </w:r>
    </w:p>
    <w:p w14:paraId="0158CE75" w14:textId="77777777" w:rsidR="00A80856" w:rsidRDefault="00A80856" w:rsidP="00DE24D1">
      <w:pPr>
        <w:jc w:val="center"/>
        <w:rPr>
          <w:rFonts w:ascii="Times New Roman" w:hAnsi="Times New Roman" w:cs="Times New Roman"/>
          <w:b/>
          <w:bCs/>
          <w:i/>
          <w:iCs/>
          <w:sz w:val="18"/>
          <w:szCs w:val="18"/>
        </w:rPr>
      </w:pPr>
    </w:p>
    <w:p w14:paraId="76226EB0" w14:textId="69B1A787" w:rsidR="00DE24D1" w:rsidRDefault="003C5340" w:rsidP="00DE24D1">
      <w:pPr>
        <w:jc w:val="center"/>
        <w:rPr>
          <w:rFonts w:ascii="Times New Roman" w:hAnsi="Times New Roman" w:cs="Times New Roman"/>
          <w:b/>
          <w:bCs/>
          <w:i/>
          <w:iCs/>
          <w:sz w:val="18"/>
          <w:szCs w:val="18"/>
        </w:rPr>
      </w:pPr>
      <w:r>
        <w:rPr>
          <w:rFonts w:ascii="Times New Roman" w:hAnsi="Times New Roman" w:cs="Times New Roman"/>
          <w:b/>
          <w:bCs/>
          <w:i/>
          <w:iCs/>
          <w:sz w:val="18"/>
          <w:szCs w:val="18"/>
        </w:rPr>
        <w:t>Fig</w:t>
      </w:r>
      <w:r w:rsidR="00DE24D1" w:rsidRPr="00FA591C">
        <w:rPr>
          <w:rFonts w:ascii="Times New Roman" w:hAnsi="Times New Roman" w:cs="Times New Roman"/>
          <w:b/>
          <w:bCs/>
          <w:i/>
          <w:iCs/>
          <w:sz w:val="18"/>
          <w:szCs w:val="18"/>
        </w:rPr>
        <w:t xml:space="preserve"> </w:t>
      </w:r>
      <w:r>
        <w:rPr>
          <w:rFonts w:ascii="Times New Roman" w:hAnsi="Times New Roman" w:cs="Times New Roman"/>
          <w:b/>
          <w:bCs/>
          <w:i/>
          <w:iCs/>
          <w:sz w:val="18"/>
          <w:szCs w:val="18"/>
        </w:rPr>
        <w:t>2</w:t>
      </w:r>
      <w:r w:rsidR="00DE24D1" w:rsidRPr="00FA591C">
        <w:rPr>
          <w:rFonts w:ascii="Times New Roman" w:hAnsi="Times New Roman" w:cs="Times New Roman"/>
          <w:b/>
          <w:bCs/>
          <w:i/>
          <w:iCs/>
          <w:sz w:val="18"/>
          <w:szCs w:val="18"/>
        </w:rPr>
        <w:t>: Performance Metrics</w:t>
      </w:r>
    </w:p>
    <w:p w14:paraId="21FD4F79" w14:textId="77777777" w:rsidR="00DE24D1" w:rsidRPr="00FA591C" w:rsidRDefault="00DE24D1" w:rsidP="00DE24D1">
      <w:pPr>
        <w:jc w:val="center"/>
        <w:rPr>
          <w:rFonts w:ascii="Times New Roman" w:hAnsi="Times New Roman" w:cs="Times New Roman"/>
          <w:b/>
          <w:bCs/>
          <w:i/>
          <w:iCs/>
          <w:sz w:val="18"/>
          <w:szCs w:val="18"/>
        </w:rPr>
      </w:pPr>
    </w:p>
    <w:p w14:paraId="0DDEA06A" w14:textId="55D00968" w:rsidR="00DE24D1" w:rsidRDefault="00A80856" w:rsidP="00DE24D1">
      <w:pPr>
        <w:jc w:val="center"/>
        <w:rPr>
          <w:noProof/>
        </w:rPr>
      </w:pPr>
      <w:r w:rsidRPr="00A80856">
        <w:rPr>
          <w:noProof/>
        </w:rPr>
        <w:drawing>
          <wp:inline distT="0" distB="0" distL="0" distR="0" wp14:anchorId="2905C70E" wp14:editId="2BE37AE2">
            <wp:extent cx="2983865" cy="1951355"/>
            <wp:effectExtent l="0" t="0" r="6985" b="0"/>
            <wp:docPr id="310065329" name="Picture 1" descr="A graph of different colored squ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065329" name="Picture 1" descr="A graph of different colored squares"/>
                    <pic:cNvPicPr/>
                  </pic:nvPicPr>
                  <pic:blipFill>
                    <a:blip r:embed="rId16"/>
                    <a:stretch>
                      <a:fillRect/>
                    </a:stretch>
                  </pic:blipFill>
                  <pic:spPr>
                    <a:xfrm>
                      <a:off x="0" y="0"/>
                      <a:ext cx="2983865" cy="1951355"/>
                    </a:xfrm>
                    <a:prstGeom prst="rect">
                      <a:avLst/>
                    </a:prstGeom>
                  </pic:spPr>
                </pic:pic>
              </a:graphicData>
            </a:graphic>
          </wp:inline>
        </w:drawing>
      </w:r>
    </w:p>
    <w:p w14:paraId="30BCB29D" w14:textId="1E3CA3E7" w:rsidR="00DE24D1" w:rsidRDefault="00DE24D1" w:rsidP="00DE24D1">
      <w:pPr>
        <w:jc w:val="center"/>
        <w:rPr>
          <w:rFonts w:ascii="Times New Roman" w:hAnsi="Times New Roman" w:cs="Times New Roman"/>
          <w:b/>
          <w:bCs/>
          <w:i/>
          <w:iCs/>
          <w:sz w:val="18"/>
          <w:szCs w:val="18"/>
        </w:rPr>
      </w:pPr>
      <w:r w:rsidRPr="00FA591C">
        <w:rPr>
          <w:rFonts w:ascii="Times New Roman" w:hAnsi="Times New Roman" w:cs="Times New Roman"/>
          <w:b/>
          <w:bCs/>
          <w:i/>
          <w:iCs/>
          <w:sz w:val="18"/>
          <w:szCs w:val="18"/>
        </w:rPr>
        <w:t xml:space="preserve">Fig. </w:t>
      </w:r>
      <w:r w:rsidR="003C5340">
        <w:rPr>
          <w:rFonts w:ascii="Times New Roman" w:hAnsi="Times New Roman" w:cs="Times New Roman"/>
          <w:b/>
          <w:bCs/>
          <w:i/>
          <w:iCs/>
          <w:sz w:val="18"/>
          <w:szCs w:val="18"/>
        </w:rPr>
        <w:t>3</w:t>
      </w:r>
      <w:r w:rsidRPr="00FA591C">
        <w:rPr>
          <w:rFonts w:ascii="Times New Roman" w:hAnsi="Times New Roman" w:cs="Times New Roman"/>
          <w:b/>
          <w:bCs/>
          <w:i/>
          <w:iCs/>
          <w:sz w:val="18"/>
          <w:szCs w:val="18"/>
        </w:rPr>
        <w:t>: Performance Metrics Graph</w:t>
      </w:r>
    </w:p>
    <w:p w14:paraId="7B5924B5" w14:textId="77777777" w:rsidR="009F3867" w:rsidRPr="007E7CF8" w:rsidRDefault="009F3867" w:rsidP="00DE24D1">
      <w:pPr>
        <w:jc w:val="center"/>
        <w:rPr>
          <w:rFonts w:ascii="Times New Roman" w:hAnsi="Times New Roman" w:cs="Times New Roman"/>
          <w:color w:val="000000"/>
          <w:sz w:val="16"/>
          <w:szCs w:val="16"/>
        </w:rPr>
      </w:pPr>
    </w:p>
    <w:p w14:paraId="1CB196F9" w14:textId="2821770A" w:rsidR="00A80856" w:rsidRPr="00A80856" w:rsidRDefault="00A80856" w:rsidP="00A80856">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A80856">
        <w:rPr>
          <w:rFonts w:ascii="Times New Roman" w:eastAsia="Times New Roman" w:hAnsi="Times New Roman" w:cs="Times New Roman"/>
          <w:sz w:val="20"/>
          <w:szCs w:val="20"/>
          <w:lang w:val="en-US"/>
        </w:rPr>
        <w:t xml:space="preserve">The performance study of the ESG risk classification model reveals promising insights drawn from the dataset’s statistical characteristics. The dataset included 500 companies and featured clean, well-structured data with no missing values, which provided a strong foundation for building accurate machine learning models. The </w:t>
      </w:r>
      <w:r w:rsidRPr="00A80856">
        <w:rPr>
          <w:rFonts w:ascii="Times New Roman" w:eastAsia="Times New Roman" w:hAnsi="Times New Roman" w:cs="Times New Roman"/>
          <w:b/>
          <w:bCs/>
          <w:sz w:val="20"/>
          <w:szCs w:val="20"/>
          <w:lang w:val="en-US"/>
        </w:rPr>
        <w:t>Total ESG Risk Score</w:t>
      </w:r>
      <w:r w:rsidRPr="00A80856">
        <w:rPr>
          <w:rFonts w:ascii="Times New Roman" w:eastAsia="Times New Roman" w:hAnsi="Times New Roman" w:cs="Times New Roman"/>
          <w:sz w:val="20"/>
          <w:szCs w:val="20"/>
          <w:lang w:val="en-US"/>
        </w:rPr>
        <w:t xml:space="preserve"> had a mean value of </w:t>
      </w:r>
      <w:r w:rsidRPr="00A80856">
        <w:rPr>
          <w:rFonts w:ascii="Times New Roman" w:eastAsia="Times New Roman" w:hAnsi="Times New Roman" w:cs="Times New Roman"/>
          <w:b/>
          <w:bCs/>
          <w:sz w:val="20"/>
          <w:szCs w:val="20"/>
          <w:lang w:val="en-US"/>
        </w:rPr>
        <w:t>21.53</w:t>
      </w:r>
      <w:r w:rsidRPr="00A80856">
        <w:rPr>
          <w:rFonts w:ascii="Times New Roman" w:eastAsia="Times New Roman" w:hAnsi="Times New Roman" w:cs="Times New Roman"/>
          <w:sz w:val="20"/>
          <w:szCs w:val="20"/>
          <w:lang w:val="en-US"/>
        </w:rPr>
        <w:t xml:space="preserve"> and a standard deviation of </w:t>
      </w:r>
      <w:r w:rsidRPr="00A80856">
        <w:rPr>
          <w:rFonts w:ascii="Times New Roman" w:eastAsia="Times New Roman" w:hAnsi="Times New Roman" w:cs="Times New Roman"/>
          <w:b/>
          <w:bCs/>
          <w:sz w:val="20"/>
          <w:szCs w:val="20"/>
          <w:lang w:val="en-US"/>
        </w:rPr>
        <w:t>6.89</w:t>
      </w:r>
      <w:r w:rsidRPr="00A80856">
        <w:rPr>
          <w:rFonts w:ascii="Times New Roman" w:eastAsia="Times New Roman" w:hAnsi="Times New Roman" w:cs="Times New Roman"/>
          <w:sz w:val="20"/>
          <w:szCs w:val="20"/>
          <w:lang w:val="en-US"/>
        </w:rPr>
        <w:t xml:space="preserve">, indicating a moderate spread across the dataset. The minimum and maximum values of </w:t>
      </w:r>
      <w:r w:rsidRPr="00A80856">
        <w:rPr>
          <w:rFonts w:ascii="Times New Roman" w:eastAsia="Times New Roman" w:hAnsi="Times New Roman" w:cs="Times New Roman"/>
          <w:b/>
          <w:bCs/>
          <w:sz w:val="20"/>
          <w:szCs w:val="20"/>
          <w:lang w:val="en-US"/>
        </w:rPr>
        <w:t>7.1</w:t>
      </w:r>
      <w:r w:rsidRPr="00A80856">
        <w:rPr>
          <w:rFonts w:ascii="Times New Roman" w:eastAsia="Times New Roman" w:hAnsi="Times New Roman" w:cs="Times New Roman"/>
          <w:sz w:val="20"/>
          <w:szCs w:val="20"/>
          <w:lang w:val="en-US"/>
        </w:rPr>
        <w:t xml:space="preserve"> and </w:t>
      </w:r>
      <w:r w:rsidRPr="00A80856">
        <w:rPr>
          <w:rFonts w:ascii="Times New Roman" w:eastAsia="Times New Roman" w:hAnsi="Times New Roman" w:cs="Times New Roman"/>
          <w:b/>
          <w:bCs/>
          <w:sz w:val="20"/>
          <w:szCs w:val="20"/>
          <w:lang w:val="en-US"/>
        </w:rPr>
        <w:t>41.7</w:t>
      </w:r>
      <w:r w:rsidRPr="00A80856">
        <w:rPr>
          <w:rFonts w:ascii="Times New Roman" w:eastAsia="Times New Roman" w:hAnsi="Times New Roman" w:cs="Times New Roman"/>
          <w:sz w:val="20"/>
          <w:szCs w:val="20"/>
          <w:lang w:val="en-US"/>
        </w:rPr>
        <w:t xml:space="preserve">, </w:t>
      </w:r>
      <w:proofErr w:type="gramStart"/>
      <w:r w:rsidRPr="00A80856">
        <w:rPr>
          <w:rFonts w:ascii="Times New Roman" w:eastAsia="Times New Roman" w:hAnsi="Times New Roman" w:cs="Times New Roman"/>
          <w:sz w:val="20"/>
          <w:szCs w:val="20"/>
          <w:lang w:val="en-US"/>
        </w:rPr>
        <w:t>respectively</w:t>
      </w:r>
      <w:proofErr w:type="gramEnd"/>
      <w:r w:rsidRPr="00A80856">
        <w:rPr>
          <w:rFonts w:ascii="Times New Roman" w:eastAsia="Times New Roman" w:hAnsi="Times New Roman" w:cs="Times New Roman"/>
          <w:sz w:val="20"/>
          <w:szCs w:val="20"/>
          <w:lang w:val="en-US"/>
        </w:rPr>
        <w:t xml:space="preserve"> show a significant range, capturing both low-risk and high-risk entities effectively.</w:t>
      </w:r>
    </w:p>
    <w:p w14:paraId="63F994AA" w14:textId="77777777" w:rsidR="00A80856" w:rsidRPr="00A80856" w:rsidRDefault="00A80856" w:rsidP="00A80856">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A80856">
        <w:rPr>
          <w:rFonts w:ascii="Times New Roman" w:eastAsia="Times New Roman" w:hAnsi="Times New Roman" w:cs="Times New Roman"/>
          <w:sz w:val="20"/>
          <w:szCs w:val="20"/>
          <w:lang w:val="en-US"/>
        </w:rPr>
        <w:t xml:space="preserve">Outlier analysis further highlighted specific instances that could skew model performance if left unaddressed. Notably, </w:t>
      </w:r>
      <w:r w:rsidRPr="00A80856">
        <w:rPr>
          <w:rFonts w:ascii="Times New Roman" w:eastAsia="Times New Roman" w:hAnsi="Times New Roman" w:cs="Times New Roman"/>
          <w:b/>
          <w:bCs/>
          <w:sz w:val="20"/>
          <w:szCs w:val="20"/>
          <w:lang w:val="en-US"/>
        </w:rPr>
        <w:t>Environmental Risk Scores</w:t>
      </w:r>
      <w:r w:rsidRPr="00A80856">
        <w:rPr>
          <w:rFonts w:ascii="Times New Roman" w:eastAsia="Times New Roman" w:hAnsi="Times New Roman" w:cs="Times New Roman"/>
          <w:sz w:val="20"/>
          <w:szCs w:val="20"/>
          <w:lang w:val="en-US"/>
        </w:rPr>
        <w:t xml:space="preserve"> had high outliers like a value of </w:t>
      </w:r>
      <w:r w:rsidRPr="00A80856">
        <w:rPr>
          <w:rFonts w:ascii="Times New Roman" w:eastAsia="Times New Roman" w:hAnsi="Times New Roman" w:cs="Times New Roman"/>
          <w:b/>
          <w:bCs/>
          <w:sz w:val="20"/>
          <w:szCs w:val="20"/>
          <w:lang w:val="en-US"/>
        </w:rPr>
        <w:t>25.0</w:t>
      </w:r>
      <w:r w:rsidRPr="00A80856">
        <w:rPr>
          <w:rFonts w:ascii="Times New Roman" w:eastAsia="Times New Roman" w:hAnsi="Times New Roman" w:cs="Times New Roman"/>
          <w:sz w:val="20"/>
          <w:szCs w:val="20"/>
          <w:lang w:val="en-US"/>
        </w:rPr>
        <w:t xml:space="preserve"> at index 143, while </w:t>
      </w:r>
      <w:r w:rsidRPr="00A80856">
        <w:rPr>
          <w:rFonts w:ascii="Times New Roman" w:eastAsia="Times New Roman" w:hAnsi="Times New Roman" w:cs="Times New Roman"/>
          <w:b/>
          <w:bCs/>
          <w:sz w:val="20"/>
          <w:szCs w:val="20"/>
          <w:lang w:val="en-US"/>
        </w:rPr>
        <w:t>Governance</w:t>
      </w:r>
      <w:r w:rsidRPr="00A80856">
        <w:rPr>
          <w:rFonts w:ascii="Times New Roman" w:eastAsia="Times New Roman" w:hAnsi="Times New Roman" w:cs="Times New Roman"/>
          <w:sz w:val="20"/>
          <w:szCs w:val="20"/>
          <w:lang w:val="en-US"/>
        </w:rPr>
        <w:t xml:space="preserve"> and </w:t>
      </w:r>
      <w:r w:rsidRPr="00A80856">
        <w:rPr>
          <w:rFonts w:ascii="Times New Roman" w:eastAsia="Times New Roman" w:hAnsi="Times New Roman" w:cs="Times New Roman"/>
          <w:b/>
          <w:bCs/>
          <w:sz w:val="20"/>
          <w:szCs w:val="20"/>
          <w:lang w:val="en-US"/>
        </w:rPr>
        <w:t>Social Risk Scores</w:t>
      </w:r>
      <w:r w:rsidRPr="00A80856">
        <w:rPr>
          <w:rFonts w:ascii="Times New Roman" w:eastAsia="Times New Roman" w:hAnsi="Times New Roman" w:cs="Times New Roman"/>
          <w:sz w:val="20"/>
          <w:szCs w:val="20"/>
          <w:lang w:val="en-US"/>
        </w:rPr>
        <w:t xml:space="preserve"> showed elevated values of </w:t>
      </w:r>
      <w:r w:rsidRPr="00A80856">
        <w:rPr>
          <w:rFonts w:ascii="Times New Roman" w:eastAsia="Times New Roman" w:hAnsi="Times New Roman" w:cs="Times New Roman"/>
          <w:b/>
          <w:bCs/>
          <w:sz w:val="20"/>
          <w:szCs w:val="20"/>
          <w:lang w:val="en-US"/>
        </w:rPr>
        <w:t>19.4</w:t>
      </w:r>
      <w:r w:rsidRPr="00A80856">
        <w:rPr>
          <w:rFonts w:ascii="Times New Roman" w:eastAsia="Times New Roman" w:hAnsi="Times New Roman" w:cs="Times New Roman"/>
          <w:sz w:val="20"/>
          <w:szCs w:val="20"/>
          <w:lang w:val="en-US"/>
        </w:rPr>
        <w:t xml:space="preserve"> and </w:t>
      </w:r>
      <w:r w:rsidRPr="00A80856">
        <w:rPr>
          <w:rFonts w:ascii="Times New Roman" w:eastAsia="Times New Roman" w:hAnsi="Times New Roman" w:cs="Times New Roman"/>
          <w:b/>
          <w:bCs/>
          <w:sz w:val="20"/>
          <w:szCs w:val="20"/>
          <w:lang w:val="en-US"/>
        </w:rPr>
        <w:t>22.5</w:t>
      </w:r>
      <w:r w:rsidRPr="00A80856">
        <w:rPr>
          <w:rFonts w:ascii="Times New Roman" w:eastAsia="Times New Roman" w:hAnsi="Times New Roman" w:cs="Times New Roman"/>
          <w:sz w:val="20"/>
          <w:szCs w:val="20"/>
          <w:lang w:val="en-US"/>
        </w:rPr>
        <w:t xml:space="preserve"> at indices 15 and 370. These points were particularly important in training as they helped the model learn the extremes of risk behavior. Addressing these outliers through preprocessing improved the model’s ability to generalize while maintaining robustness across the full data range.</w:t>
      </w:r>
    </w:p>
    <w:p w14:paraId="2A2A8BD9" w14:textId="528C7D86" w:rsidR="00A80856" w:rsidRPr="00A80856" w:rsidRDefault="00A80856" w:rsidP="00A80856">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A80856">
        <w:rPr>
          <w:rFonts w:ascii="Times New Roman" w:eastAsia="Times New Roman" w:hAnsi="Times New Roman" w:cs="Times New Roman"/>
          <w:sz w:val="20"/>
          <w:szCs w:val="20"/>
          <w:lang w:val="en-US"/>
        </w:rPr>
        <w:t xml:space="preserve">The individual ESG dimensions, Environmental, Social, and Governance—were also statistically sound, with means of </w:t>
      </w:r>
      <w:r w:rsidRPr="00A80856">
        <w:rPr>
          <w:rFonts w:ascii="Times New Roman" w:eastAsia="Times New Roman" w:hAnsi="Times New Roman" w:cs="Times New Roman"/>
          <w:b/>
          <w:bCs/>
          <w:sz w:val="20"/>
          <w:szCs w:val="20"/>
          <w:lang w:val="en-US"/>
        </w:rPr>
        <w:t>59.91</w:t>
      </w:r>
      <w:r w:rsidRPr="00A80856">
        <w:rPr>
          <w:rFonts w:ascii="Times New Roman" w:eastAsia="Times New Roman" w:hAnsi="Times New Roman" w:cs="Times New Roman"/>
          <w:sz w:val="20"/>
          <w:szCs w:val="20"/>
          <w:lang w:val="en-US"/>
        </w:rPr>
        <w:t xml:space="preserve">, </w:t>
      </w:r>
      <w:r w:rsidRPr="00A80856">
        <w:rPr>
          <w:rFonts w:ascii="Times New Roman" w:eastAsia="Times New Roman" w:hAnsi="Times New Roman" w:cs="Times New Roman"/>
          <w:b/>
          <w:bCs/>
          <w:sz w:val="20"/>
          <w:szCs w:val="20"/>
          <w:lang w:val="en-US"/>
        </w:rPr>
        <w:t>58.91</w:t>
      </w:r>
      <w:r w:rsidRPr="00A80856">
        <w:rPr>
          <w:rFonts w:ascii="Times New Roman" w:eastAsia="Times New Roman" w:hAnsi="Times New Roman" w:cs="Times New Roman"/>
          <w:sz w:val="20"/>
          <w:szCs w:val="20"/>
          <w:lang w:val="en-US"/>
        </w:rPr>
        <w:t xml:space="preserve">, and </w:t>
      </w:r>
      <w:r w:rsidRPr="00A80856">
        <w:rPr>
          <w:rFonts w:ascii="Times New Roman" w:eastAsia="Times New Roman" w:hAnsi="Times New Roman" w:cs="Times New Roman"/>
          <w:b/>
          <w:bCs/>
          <w:sz w:val="20"/>
          <w:szCs w:val="20"/>
          <w:lang w:val="en-US"/>
        </w:rPr>
        <w:t>68.46</w:t>
      </w:r>
      <w:r w:rsidRPr="00A80856">
        <w:rPr>
          <w:rFonts w:ascii="Times New Roman" w:eastAsia="Times New Roman" w:hAnsi="Times New Roman" w:cs="Times New Roman"/>
          <w:sz w:val="20"/>
          <w:szCs w:val="20"/>
          <w:lang w:val="en-US"/>
        </w:rPr>
        <w:t xml:space="preserve">, respectively. The overall ESG Score averaged </w:t>
      </w:r>
      <w:r w:rsidRPr="00A80856">
        <w:rPr>
          <w:rFonts w:ascii="Times New Roman" w:eastAsia="Times New Roman" w:hAnsi="Times New Roman" w:cs="Times New Roman"/>
          <w:b/>
          <w:bCs/>
          <w:sz w:val="20"/>
          <w:szCs w:val="20"/>
          <w:lang w:val="en-US"/>
        </w:rPr>
        <w:t>61.96</w:t>
      </w:r>
      <w:r w:rsidRPr="00A80856">
        <w:rPr>
          <w:rFonts w:ascii="Times New Roman" w:eastAsia="Times New Roman" w:hAnsi="Times New Roman" w:cs="Times New Roman"/>
          <w:sz w:val="20"/>
          <w:szCs w:val="20"/>
          <w:lang w:val="en-US"/>
        </w:rPr>
        <w:t xml:space="preserve">, suggesting that </w:t>
      </w:r>
      <w:proofErr w:type="gramStart"/>
      <w:r w:rsidRPr="00A80856">
        <w:rPr>
          <w:rFonts w:ascii="Times New Roman" w:eastAsia="Times New Roman" w:hAnsi="Times New Roman" w:cs="Times New Roman"/>
          <w:sz w:val="20"/>
          <w:szCs w:val="20"/>
          <w:lang w:val="en-US"/>
        </w:rPr>
        <w:t xml:space="preserve">the </w:t>
      </w:r>
      <w:r w:rsidRPr="00A80856">
        <w:rPr>
          <w:rFonts w:ascii="Times New Roman" w:eastAsia="Times New Roman" w:hAnsi="Times New Roman" w:cs="Times New Roman"/>
          <w:sz w:val="20"/>
          <w:szCs w:val="20"/>
          <w:lang w:val="en-US"/>
        </w:rPr>
        <w:t>majority of</w:t>
      </w:r>
      <w:proofErr w:type="gramEnd"/>
      <w:r w:rsidRPr="00A80856">
        <w:rPr>
          <w:rFonts w:ascii="Times New Roman" w:eastAsia="Times New Roman" w:hAnsi="Times New Roman" w:cs="Times New Roman"/>
          <w:sz w:val="20"/>
          <w:szCs w:val="20"/>
          <w:lang w:val="en-US"/>
        </w:rPr>
        <w:t xml:space="preserve"> companies fell into a moderate ESG performance bracket. These well-distributed values played a critical role in supporting balanced classification outputs, minimizing bias toward any single risk category.</w:t>
      </w:r>
    </w:p>
    <w:p w14:paraId="3D43C52C" w14:textId="77777777" w:rsidR="00A80856" w:rsidRPr="00A80856" w:rsidRDefault="00A80856" w:rsidP="00A80856">
      <w:pPr>
        <w:shd w:val="clear" w:color="auto" w:fill="FFFFFF"/>
        <w:spacing w:after="120" w:line="240" w:lineRule="auto"/>
        <w:ind w:firstLine="288"/>
        <w:jc w:val="both"/>
        <w:rPr>
          <w:rFonts w:ascii="Times New Roman" w:eastAsia="Times New Roman" w:hAnsi="Times New Roman" w:cs="Times New Roman"/>
          <w:sz w:val="20"/>
          <w:szCs w:val="20"/>
          <w:lang w:val="en-US"/>
        </w:rPr>
      </w:pPr>
      <w:r w:rsidRPr="00A80856">
        <w:rPr>
          <w:rFonts w:ascii="Times New Roman" w:eastAsia="Times New Roman" w:hAnsi="Times New Roman" w:cs="Times New Roman"/>
          <w:sz w:val="20"/>
          <w:szCs w:val="20"/>
          <w:lang w:val="en-US"/>
        </w:rPr>
        <w:t xml:space="preserve">The diverse but consistent nature of the input data helped ensure that the predictive model could distinguish between varying levels of ESG risk with high confidence. Since the risk scores were relatively well-distributed and free from data imbalances, the resulting classification system demonstrated both </w:t>
      </w:r>
      <w:r w:rsidRPr="00A80856">
        <w:rPr>
          <w:rFonts w:ascii="Times New Roman" w:eastAsia="Times New Roman" w:hAnsi="Times New Roman" w:cs="Times New Roman"/>
          <w:b/>
          <w:bCs/>
          <w:sz w:val="20"/>
          <w:szCs w:val="20"/>
          <w:lang w:val="en-US"/>
        </w:rPr>
        <w:t>stability</w:t>
      </w:r>
      <w:r w:rsidRPr="00A80856">
        <w:rPr>
          <w:rFonts w:ascii="Times New Roman" w:eastAsia="Times New Roman" w:hAnsi="Times New Roman" w:cs="Times New Roman"/>
          <w:sz w:val="20"/>
          <w:szCs w:val="20"/>
          <w:lang w:val="en-US"/>
        </w:rPr>
        <w:t xml:space="preserve"> and </w:t>
      </w:r>
      <w:r w:rsidRPr="00A80856">
        <w:rPr>
          <w:rFonts w:ascii="Times New Roman" w:eastAsia="Times New Roman" w:hAnsi="Times New Roman" w:cs="Times New Roman"/>
          <w:b/>
          <w:bCs/>
          <w:sz w:val="20"/>
          <w:szCs w:val="20"/>
          <w:lang w:val="en-US"/>
        </w:rPr>
        <w:t>resilience</w:t>
      </w:r>
      <w:r w:rsidRPr="00A80856">
        <w:rPr>
          <w:rFonts w:ascii="Times New Roman" w:eastAsia="Times New Roman" w:hAnsi="Times New Roman" w:cs="Times New Roman"/>
          <w:sz w:val="20"/>
          <w:szCs w:val="20"/>
          <w:lang w:val="en-US"/>
        </w:rPr>
        <w:t>, particularly in distinguishing between medium and high-risk levels. Outlier handling further enhanced the model’s ability to avoid false positives in extreme cases, boosting overall precision and reliability.</w:t>
      </w:r>
    </w:p>
    <w:p w14:paraId="76C76B91" w14:textId="77777777" w:rsidR="00A80856" w:rsidRDefault="00A80856" w:rsidP="00A80856">
      <w:pPr>
        <w:shd w:val="clear" w:color="auto" w:fill="FFFFFF"/>
        <w:spacing w:after="120" w:line="240" w:lineRule="auto"/>
        <w:ind w:firstLine="288"/>
        <w:jc w:val="both"/>
      </w:pPr>
      <w:r w:rsidRPr="00A80856">
        <w:rPr>
          <w:rFonts w:ascii="Times New Roman" w:eastAsia="Times New Roman" w:hAnsi="Times New Roman" w:cs="Times New Roman"/>
          <w:sz w:val="20"/>
          <w:szCs w:val="20"/>
        </w:rPr>
        <w:t xml:space="preserve">Furthermore, the presence of strong correlations between individual ESG dimensions and the Total ESG Risk Score enabled more accurate prediction of the </w:t>
      </w:r>
      <w:r w:rsidRPr="00A80856">
        <w:rPr>
          <w:rFonts w:ascii="Times New Roman" w:eastAsia="Times New Roman" w:hAnsi="Times New Roman" w:cs="Times New Roman"/>
          <w:b/>
          <w:bCs/>
          <w:sz w:val="20"/>
          <w:szCs w:val="20"/>
        </w:rPr>
        <w:t>ESG Risk Level</w:t>
      </w:r>
      <w:r w:rsidRPr="00A80856">
        <w:rPr>
          <w:rFonts w:ascii="Times New Roman" w:eastAsia="Times New Roman" w:hAnsi="Times New Roman" w:cs="Times New Roman"/>
          <w:sz w:val="20"/>
          <w:szCs w:val="20"/>
        </w:rPr>
        <w:t xml:space="preserve">, the final target label in the dataset. For instance, companies with high </w:t>
      </w:r>
      <w:r w:rsidRPr="00A80856">
        <w:rPr>
          <w:rFonts w:ascii="Times New Roman" w:eastAsia="Times New Roman" w:hAnsi="Times New Roman" w:cs="Times New Roman"/>
          <w:b/>
          <w:bCs/>
          <w:sz w:val="20"/>
          <w:szCs w:val="20"/>
        </w:rPr>
        <w:t>Environmental Risk Scores</w:t>
      </w:r>
      <w:r w:rsidRPr="00A80856">
        <w:rPr>
          <w:rFonts w:ascii="Times New Roman" w:eastAsia="Times New Roman" w:hAnsi="Times New Roman" w:cs="Times New Roman"/>
          <w:sz w:val="20"/>
          <w:szCs w:val="20"/>
        </w:rPr>
        <w:t xml:space="preserve"> frequently had elevated total ESG risk, particularly those flagged as outliers like index 143 and 275. This pattern suggests that environmental factors often act as a major contributor to a company's overall sustainability risk profile. Similarly, governance-related outliers—like the unusually high </w:t>
      </w:r>
      <w:r w:rsidRPr="00A80856">
        <w:rPr>
          <w:rFonts w:ascii="Times New Roman" w:eastAsia="Times New Roman" w:hAnsi="Times New Roman" w:cs="Times New Roman"/>
          <w:b/>
          <w:bCs/>
          <w:sz w:val="20"/>
          <w:szCs w:val="20"/>
        </w:rPr>
        <w:t>Governance Risk Score</w:t>
      </w:r>
      <w:r w:rsidRPr="00A80856">
        <w:rPr>
          <w:rFonts w:ascii="Times New Roman" w:eastAsia="Times New Roman" w:hAnsi="Times New Roman" w:cs="Times New Roman"/>
          <w:sz w:val="20"/>
          <w:szCs w:val="20"/>
        </w:rPr>
        <w:t xml:space="preserve"> of </w:t>
      </w:r>
      <w:r w:rsidRPr="00A80856">
        <w:rPr>
          <w:rFonts w:ascii="Times New Roman" w:eastAsia="Times New Roman" w:hAnsi="Times New Roman" w:cs="Times New Roman"/>
          <w:b/>
          <w:bCs/>
          <w:sz w:val="20"/>
          <w:szCs w:val="20"/>
        </w:rPr>
        <w:t>19.4</w:t>
      </w:r>
      <w:r w:rsidRPr="00A80856">
        <w:rPr>
          <w:rFonts w:ascii="Times New Roman" w:eastAsia="Times New Roman" w:hAnsi="Times New Roman" w:cs="Times New Roman"/>
          <w:sz w:val="20"/>
          <w:szCs w:val="20"/>
        </w:rPr>
        <w:t>—proved to be critical in helping the model differentiate higher governance risk from other categories. These patterns enriched the training process by providing clear markers for high-risk classification.</w:t>
      </w:r>
      <w:r w:rsidRPr="00A80856">
        <w:t xml:space="preserve"> </w:t>
      </w:r>
    </w:p>
    <w:p w14:paraId="7B6986A4" w14:textId="5B769202" w:rsidR="00DE24D1" w:rsidRDefault="00A80856" w:rsidP="00A80856">
      <w:pPr>
        <w:shd w:val="clear" w:color="auto" w:fill="FFFFFF"/>
        <w:spacing w:after="120" w:line="240" w:lineRule="auto"/>
        <w:ind w:firstLine="288"/>
        <w:jc w:val="both"/>
        <w:rPr>
          <w:rFonts w:ascii="Times New Roman" w:eastAsia="Times New Roman" w:hAnsi="Times New Roman" w:cs="Times New Roman"/>
          <w:b/>
          <w:bCs/>
          <w:i/>
          <w:iCs/>
          <w:sz w:val="18"/>
          <w:szCs w:val="18"/>
        </w:rPr>
      </w:pPr>
      <w:r w:rsidRPr="00A80856">
        <w:rPr>
          <w:rFonts w:ascii="Times New Roman" w:eastAsia="Times New Roman" w:hAnsi="Times New Roman" w:cs="Times New Roman"/>
          <w:sz w:val="20"/>
          <w:szCs w:val="20"/>
        </w:rPr>
        <w:t>In conclusion, the summary statistics and outlier findings directly contributed to the system’s strong performance. By combining clean data, proper preprocessing, and detailed statistical insight, the ESG risk classification model proved to be effective in real-world applications, with the capacity to support data-driven decision-making in sustainability and governance evaluation frameworks</w:t>
      </w:r>
      <w:r>
        <w:rPr>
          <w:rFonts w:ascii="Times New Roman" w:eastAsia="Times New Roman" w:hAnsi="Times New Roman" w:cs="Times New Roman"/>
          <w:sz w:val="20"/>
          <w:szCs w:val="20"/>
        </w:rPr>
        <w:t>.</w:t>
      </w:r>
    </w:p>
    <w:p w14:paraId="1A5F4D52" w14:textId="77777777" w:rsidR="00DE24D1" w:rsidRDefault="00DE24D1" w:rsidP="00DE24D1">
      <w:pPr>
        <w:numPr>
          <w:ilvl w:val="0"/>
          <w:numId w:val="3"/>
        </w:numPr>
        <w:shd w:val="clear" w:color="auto" w:fill="FFFFFF"/>
        <w:spacing w:before="160" w:after="8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w:t>
      </w:r>
      <w:r>
        <w:rPr>
          <w:rFonts w:ascii="Times New Roman" w:eastAsia="Times New Roman" w:hAnsi="Times New Roman" w:cs="Times New Roman"/>
          <w:sz w:val="16"/>
          <w:szCs w:val="16"/>
        </w:rPr>
        <w:t>ONCLUSION</w:t>
      </w:r>
    </w:p>
    <w:p w14:paraId="761EB2AF" w14:textId="77777777" w:rsidR="00A80856" w:rsidRPr="00146A9C" w:rsidRDefault="00DE24D1" w:rsidP="00A80856">
      <w:pPr>
        <w:shd w:val="clear" w:color="auto" w:fill="FFFFFF"/>
        <w:spacing w:after="120" w:line="240" w:lineRule="auto"/>
        <w:ind w:firstLine="288"/>
        <w:jc w:val="both"/>
        <w:rPr>
          <w:rFonts w:ascii="Times New Roman" w:eastAsia="Times New Roman" w:hAnsi="Times New Roman" w:cs="Times New Roman"/>
          <w:sz w:val="20"/>
          <w:szCs w:val="20"/>
        </w:rPr>
      </w:pPr>
      <w:r w:rsidRPr="003259A0">
        <w:rPr>
          <w:rFonts w:ascii="Times New Roman" w:eastAsia="Times New Roman" w:hAnsi="Times New Roman" w:cs="Times New Roman"/>
          <w:sz w:val="20"/>
          <w:szCs w:val="20"/>
        </w:rPr>
        <w:t xml:space="preserve">In </w:t>
      </w:r>
      <w:r w:rsidR="00A80856" w:rsidRPr="00146A9C">
        <w:rPr>
          <w:rFonts w:ascii="Times New Roman" w:eastAsia="Times New Roman" w:hAnsi="Times New Roman" w:cs="Times New Roman"/>
          <w:sz w:val="20"/>
          <w:szCs w:val="20"/>
        </w:rPr>
        <w:t>Traditional knowledge about sustainable investing has often been shared through academic journals, financial reports, and in-person consultations. However, these traditional methods limit access to vital insights, especially in today’s fast-paced, digitally connected world. With growing global emphasis on ethical and responsible investing, there is an urgent need to modernize how sustainable investment knowledge is preserved and shared. The integration of digital technology and machine learning offers a powerful solution to enhance accessibility, accuracy, and engagement in sustainable finance.</w:t>
      </w:r>
    </w:p>
    <w:p w14:paraId="12B9D52B" w14:textId="77777777" w:rsidR="00A80856" w:rsidRPr="00146A9C" w:rsidRDefault="00A80856" w:rsidP="00A80856">
      <w:pPr>
        <w:shd w:val="clear" w:color="auto" w:fill="FFFFFF"/>
        <w:spacing w:after="120" w:line="240" w:lineRule="auto"/>
        <w:ind w:firstLine="288"/>
        <w:jc w:val="both"/>
        <w:rPr>
          <w:rFonts w:ascii="Times New Roman" w:eastAsia="Times New Roman" w:hAnsi="Times New Roman" w:cs="Times New Roman"/>
          <w:sz w:val="20"/>
          <w:szCs w:val="20"/>
        </w:rPr>
      </w:pPr>
      <w:r w:rsidRPr="00146A9C">
        <w:rPr>
          <w:rFonts w:ascii="Times New Roman" w:eastAsia="Times New Roman" w:hAnsi="Times New Roman" w:cs="Times New Roman"/>
          <w:sz w:val="20"/>
          <w:szCs w:val="20"/>
        </w:rPr>
        <w:t xml:space="preserve">In this context, the Sustainable Investment Portfolio platform serves as a modern tool to bridge the gap between traditional investment strategies and advanced technological solutions. It uses AI-powered data analysis to evaluate user-uploaded portfolio data, delivering detailed insights into asset sustainability ratings, financial performance, and alignment with global ESG goals. Leveraging advanced deep learning models and data aggregation techniques ensures high accuracy in asset evaluation, even with varying market conditions and data </w:t>
      </w:r>
      <w:r w:rsidRPr="00146A9C">
        <w:rPr>
          <w:rFonts w:ascii="Times New Roman" w:eastAsia="Times New Roman" w:hAnsi="Times New Roman" w:cs="Times New Roman"/>
          <w:sz w:val="20"/>
          <w:szCs w:val="20"/>
        </w:rPr>
        <w:lastRenderedPageBreak/>
        <w:t>complexities. This capability transforms user interaction with sustainable investing, making portfolio assessment swift, reliable, and highly informative.</w:t>
      </w:r>
    </w:p>
    <w:p w14:paraId="7E33942E" w14:textId="77777777" w:rsidR="00A80856" w:rsidRPr="00146A9C" w:rsidRDefault="00A80856" w:rsidP="00A80856">
      <w:pPr>
        <w:shd w:val="clear" w:color="auto" w:fill="FFFFFF"/>
        <w:spacing w:after="120" w:line="240" w:lineRule="auto"/>
        <w:ind w:firstLine="288"/>
        <w:jc w:val="both"/>
        <w:rPr>
          <w:rFonts w:ascii="Times New Roman" w:eastAsia="Times New Roman" w:hAnsi="Times New Roman" w:cs="Times New Roman"/>
          <w:sz w:val="20"/>
          <w:szCs w:val="20"/>
        </w:rPr>
      </w:pPr>
      <w:r w:rsidRPr="00146A9C">
        <w:rPr>
          <w:rFonts w:ascii="Times New Roman" w:eastAsia="Times New Roman" w:hAnsi="Times New Roman" w:cs="Times New Roman"/>
          <w:sz w:val="20"/>
          <w:szCs w:val="20"/>
        </w:rPr>
        <w:t>Beyond portfolio analysis, the system is built with user engagement at its core. The responsive interface, accessible via both web and mobile applications, supports features like multilingual access, real-time analytics feedback, and risk-confidence scores, enabling users to verify insights or contribute additional data. Interactive features such as bookmarking, note-taking, and social media sharing encourage deeper user involvement, allowing individuals to track their sustainable investments, document strategies, and share achievements. These tools help foster a vibrant community of responsible investors, promoting greater awareness and collaborative growth in sustainable finance.</w:t>
      </w:r>
    </w:p>
    <w:p w14:paraId="1BC8A671" w14:textId="77777777" w:rsidR="00A80856" w:rsidRPr="00146A9C" w:rsidRDefault="00A80856" w:rsidP="00A80856">
      <w:pPr>
        <w:shd w:val="clear" w:color="auto" w:fill="FFFFFF"/>
        <w:spacing w:after="120" w:line="240" w:lineRule="auto"/>
        <w:ind w:firstLine="288"/>
        <w:jc w:val="both"/>
        <w:rPr>
          <w:rFonts w:ascii="Times New Roman" w:eastAsia="Times New Roman" w:hAnsi="Times New Roman" w:cs="Times New Roman"/>
          <w:sz w:val="20"/>
          <w:szCs w:val="20"/>
        </w:rPr>
      </w:pPr>
      <w:r w:rsidRPr="00146A9C">
        <w:rPr>
          <w:rFonts w:ascii="Times New Roman" w:eastAsia="Times New Roman" w:hAnsi="Times New Roman" w:cs="Times New Roman"/>
          <w:sz w:val="20"/>
          <w:szCs w:val="20"/>
        </w:rPr>
        <w:t>The Sustainable Investment Portfolio platform successfully bridges the gap between traditional investment approaches and advanced digital technologies. By integrating AI-powered data analysis and machine learning, the system provides accurate, real-time insights into portfolio sustainability, helping users make informed, responsible investment decisions. Its responsive, user-friendly interface ensures accessibility across devices, while features like multilingual support, confidence scoring, and interactive tools such as bookmarking and note-taking enhance user engagement and personalization.</w:t>
      </w:r>
      <w:r w:rsidRPr="00146A9C">
        <w:rPr>
          <w:rFonts w:ascii="Times New Roman" w:eastAsia="Times New Roman" w:hAnsi="Times New Roman" w:cs="Times New Roman"/>
          <w:sz w:val="20"/>
          <w:szCs w:val="20"/>
        </w:rPr>
        <w:br/>
        <w:t>Moreover, the platform fosters community growth through social sharing and collaborative features, encouraging users to document and share their sustainable investment journeys. With continuous model updates and data contributions, the platform remains dynamic and adaptive to evolving market trends. Overall, the Sustainable Investment Portfolio stands as a comprehensive, future-ready solution that promotes ethical investing and supports the global shift toward sustainable finance.</w:t>
      </w:r>
    </w:p>
    <w:p w14:paraId="6CEDCCFE" w14:textId="7BA60F18" w:rsidR="00DE24D1" w:rsidRPr="009907E3" w:rsidRDefault="00DE24D1" w:rsidP="00A80856">
      <w:pPr>
        <w:shd w:val="clear" w:color="auto" w:fill="FFFFFF"/>
        <w:spacing w:after="120" w:line="240" w:lineRule="auto"/>
        <w:ind w:firstLine="288"/>
        <w:jc w:val="both"/>
        <w:rPr>
          <w:rFonts w:ascii="Times New Roman" w:eastAsia="Times New Roman" w:hAnsi="Times New Roman" w:cs="Times New Roman"/>
          <w:sz w:val="20"/>
          <w:szCs w:val="20"/>
          <w:lang w:val="en-IN"/>
        </w:rPr>
      </w:pPr>
    </w:p>
    <w:p w14:paraId="79DE1A7D" w14:textId="77777777" w:rsidR="00DE24D1" w:rsidRPr="00A80856" w:rsidRDefault="00DE24D1" w:rsidP="00DE24D1">
      <w:pPr>
        <w:shd w:val="clear" w:color="auto" w:fill="FFFFFF"/>
        <w:spacing w:before="160" w:after="80" w:line="240" w:lineRule="auto"/>
        <w:jc w:val="center"/>
        <w:rPr>
          <w:rFonts w:ascii="Times New Roman" w:eastAsia="Times New Roman" w:hAnsi="Times New Roman" w:cs="Times New Roman"/>
          <w:sz w:val="20"/>
          <w:szCs w:val="20"/>
        </w:rPr>
      </w:pPr>
      <w:r w:rsidRPr="00A80856">
        <w:rPr>
          <w:rFonts w:ascii="Times New Roman" w:eastAsia="Times New Roman" w:hAnsi="Times New Roman" w:cs="Times New Roman"/>
          <w:sz w:val="20"/>
          <w:szCs w:val="20"/>
        </w:rPr>
        <w:t>REFERENCES</w:t>
      </w:r>
    </w:p>
    <w:p w14:paraId="7B61C13B" w14:textId="77777777" w:rsidR="00A80856" w:rsidRPr="00A80856" w:rsidRDefault="00A80856" w:rsidP="00A80856">
      <w:pPr>
        <w:pStyle w:val="whitespace-pre-wrap"/>
        <w:jc w:val="both"/>
        <w:rPr>
          <w:sz w:val="20"/>
          <w:szCs w:val="20"/>
        </w:rPr>
      </w:pPr>
      <w:r w:rsidRPr="00A80856">
        <w:rPr>
          <w:sz w:val="20"/>
          <w:szCs w:val="20"/>
        </w:rPr>
        <w:t>[1] The Impact of Agile Methods on Software Project Management (2005). This paper discusses the impact of Agile methodologies on software project management. It highlights how Agile frameworks (like Scrum and Kanban) enhance flexibility, reduce development cycles, and improve project success rates.</w:t>
      </w:r>
    </w:p>
    <w:p w14:paraId="703EE952" w14:textId="77777777" w:rsidR="00A80856" w:rsidRPr="00A80856" w:rsidRDefault="00A80856" w:rsidP="00A80856">
      <w:pPr>
        <w:pStyle w:val="whitespace-pre-wrap"/>
        <w:jc w:val="both"/>
        <w:rPr>
          <w:sz w:val="20"/>
          <w:szCs w:val="20"/>
        </w:rPr>
      </w:pPr>
      <w:r w:rsidRPr="00A80856">
        <w:rPr>
          <w:sz w:val="20"/>
          <w:szCs w:val="20"/>
        </w:rPr>
        <w:t xml:space="preserve">[2] The Impact of Agile Software Development on Software Quality (2019). This paper examines the effect of Agile methodologies on software quality. It discusses how Agile principles—such as Test-Driven Development (TDD) and Continuous Integration (CI)contribute to higher code quality and defect reduction. The study also analyzes </w:t>
      </w:r>
      <w:proofErr w:type="spellStart"/>
      <w:r w:rsidRPr="00A80856">
        <w:rPr>
          <w:sz w:val="20"/>
          <w:szCs w:val="20"/>
        </w:rPr>
        <w:t>Agile's</w:t>
      </w:r>
      <w:proofErr w:type="spellEnd"/>
      <w:r w:rsidRPr="00A80856">
        <w:rPr>
          <w:sz w:val="20"/>
          <w:szCs w:val="20"/>
        </w:rPr>
        <w:t xml:space="preserve"> role in improving customer satisfaction by incorporating frequent feedback and incremental improvements.</w:t>
      </w:r>
    </w:p>
    <w:p w14:paraId="3889D66A" w14:textId="77777777" w:rsidR="00A80856" w:rsidRPr="00A80856" w:rsidRDefault="00A80856" w:rsidP="00A80856">
      <w:pPr>
        <w:pStyle w:val="whitespace-pre-wrap"/>
        <w:jc w:val="both"/>
        <w:rPr>
          <w:sz w:val="20"/>
          <w:szCs w:val="20"/>
        </w:rPr>
      </w:pPr>
      <w:r w:rsidRPr="00A80856">
        <w:rPr>
          <w:sz w:val="20"/>
          <w:szCs w:val="20"/>
        </w:rPr>
        <w:t xml:space="preserve">[3] Analysis of strategic decision-making of company's project investment based on portfolio theory (2009). 2009 16th International Conference on Industrial Engineering and Engineering Management. Date of Conference: 21-23 </w:t>
      </w:r>
      <w:r w:rsidRPr="00A80856">
        <w:rPr>
          <w:sz w:val="20"/>
          <w:szCs w:val="20"/>
        </w:rPr>
        <w:t>October 2009. DOI: 10.1109/ICIEEM.2009.5344624. Publisher: IEEE</w:t>
      </w:r>
    </w:p>
    <w:p w14:paraId="1AF38271" w14:textId="77777777" w:rsidR="00A80856" w:rsidRPr="00A80856" w:rsidRDefault="00A80856" w:rsidP="00A80856">
      <w:pPr>
        <w:pStyle w:val="whitespace-pre-wrap"/>
        <w:jc w:val="both"/>
        <w:rPr>
          <w:sz w:val="20"/>
          <w:szCs w:val="20"/>
        </w:rPr>
      </w:pPr>
      <w:r w:rsidRPr="00A80856">
        <w:rPr>
          <w:sz w:val="20"/>
          <w:szCs w:val="20"/>
        </w:rPr>
        <w:t>[4] Multi-Asset Portfolio Management System: Integrating Diverse Investments for Optimal Returns and Risk Mitigation (2024). 2024 ASU International Conference in Emerging Technologies for Sustainability and Intelligent Systems (ICETSIS). DOI: 10.1109/ICETSIS61505.2024.10459461. Publisher: IEEE</w:t>
      </w:r>
    </w:p>
    <w:p w14:paraId="0ADFEC0A" w14:textId="77777777" w:rsidR="00A80856" w:rsidRPr="00A80856" w:rsidRDefault="00A80856" w:rsidP="00A80856">
      <w:pPr>
        <w:pStyle w:val="whitespace-pre-wrap"/>
        <w:jc w:val="both"/>
        <w:rPr>
          <w:sz w:val="20"/>
          <w:szCs w:val="20"/>
        </w:rPr>
      </w:pPr>
      <w:r w:rsidRPr="00A80856">
        <w:rPr>
          <w:sz w:val="20"/>
          <w:szCs w:val="20"/>
        </w:rPr>
        <w:t>[5] A Dynamic Real Option-Based Investment Model for Renewable Energy Portfolios (2016). IEEE Transactions on Power Systems (Volume: 32, Issue: 2, March 2017). Publisher: IEEE</w:t>
      </w:r>
    </w:p>
    <w:p w14:paraId="4B6EFDF2" w14:textId="77777777" w:rsidR="00A80856" w:rsidRPr="00A80856" w:rsidRDefault="00A80856" w:rsidP="00A80856">
      <w:pPr>
        <w:pStyle w:val="whitespace-pre-wrap"/>
        <w:jc w:val="both"/>
        <w:rPr>
          <w:sz w:val="20"/>
          <w:szCs w:val="20"/>
        </w:rPr>
      </w:pPr>
      <w:r w:rsidRPr="00A80856">
        <w:rPr>
          <w:sz w:val="20"/>
          <w:szCs w:val="20"/>
        </w:rPr>
        <w:t>[6] Unlocking Dubai's Investment Code: The Macroeconomic Keys to Portfolio Success (2024). 2024 ASU International Conference in Emerging Technologies for Sustainability and Intelligent Systems (ICETSIS). Publication Date: 19 March 2024. DOI: 10.1109/ICETSIS61505.2024.10459519. Publisher: IEEE</w:t>
      </w:r>
    </w:p>
    <w:p w14:paraId="7C10FD3C" w14:textId="77777777" w:rsidR="00A80856" w:rsidRPr="00A80856" w:rsidRDefault="00A80856" w:rsidP="00A80856">
      <w:pPr>
        <w:pStyle w:val="whitespace-pre-wrap"/>
        <w:jc w:val="both"/>
        <w:rPr>
          <w:sz w:val="20"/>
          <w:szCs w:val="20"/>
        </w:rPr>
      </w:pPr>
      <w:r w:rsidRPr="00A80856">
        <w:rPr>
          <w:sz w:val="20"/>
          <w:szCs w:val="20"/>
        </w:rPr>
        <w:t>[7] Research on the investment optimization model of power grid project based on Shapley value and harmonic search algorithm (2024). 2024 3rd International Conference on Energy, Power and Electrical Technology (ICEPET). DOI: 10.1109/ICEPET61938.2024.10626644. Publisher: IEEE</w:t>
      </w:r>
    </w:p>
    <w:p w14:paraId="32CFDC36" w14:textId="77777777" w:rsidR="00A80856" w:rsidRPr="00A80856" w:rsidRDefault="00A80856" w:rsidP="00A80856">
      <w:pPr>
        <w:pStyle w:val="whitespace-pre-wrap"/>
        <w:jc w:val="both"/>
        <w:rPr>
          <w:sz w:val="20"/>
          <w:szCs w:val="20"/>
        </w:rPr>
      </w:pPr>
      <w:r w:rsidRPr="00A80856">
        <w:rPr>
          <w:sz w:val="20"/>
          <w:szCs w:val="20"/>
        </w:rPr>
        <w:t>[8] The Influence of Portfolio Management on Evaluating IT Investments in Digital Transformation: A Systematic Literature Review (2024). 2024 International Seminar on Intelligent Technology and Its Applications (ISITIA). Publisher: IEEE</w:t>
      </w:r>
    </w:p>
    <w:p w14:paraId="6B3FCF5E" w14:textId="77777777" w:rsidR="00A80856" w:rsidRPr="00A80856" w:rsidRDefault="00A80856" w:rsidP="00A80856">
      <w:pPr>
        <w:pStyle w:val="whitespace-pre-wrap"/>
        <w:jc w:val="both"/>
        <w:rPr>
          <w:sz w:val="20"/>
          <w:szCs w:val="20"/>
        </w:rPr>
      </w:pPr>
      <w:r w:rsidRPr="00A80856">
        <w:rPr>
          <w:sz w:val="20"/>
          <w:szCs w:val="20"/>
        </w:rPr>
        <w:t>[9] ESG Criteria in Investment Decision Making: Trends and Perspectives (2024). 2024 15th International Conference on Information, Intelligence, Systems &amp; Applications (IISA). Publication Date: 18 December 2024. DOI: 10.1109/IISA62523.2024.10786642. Publisher: IEEE</w:t>
      </w:r>
    </w:p>
    <w:p w14:paraId="0A033B7E" w14:textId="77777777" w:rsidR="00A80856" w:rsidRPr="00A80856" w:rsidRDefault="00A80856" w:rsidP="00A80856">
      <w:pPr>
        <w:pStyle w:val="whitespace-pre-wrap"/>
        <w:jc w:val="both"/>
        <w:rPr>
          <w:sz w:val="20"/>
          <w:szCs w:val="20"/>
        </w:rPr>
      </w:pPr>
      <w:r w:rsidRPr="00A80856">
        <w:rPr>
          <w:sz w:val="20"/>
          <w:szCs w:val="20"/>
        </w:rPr>
        <w:t>[10] Research on Power Grid Multi-Project Portfolio Investment Optimization Decision Based on RWCS Search Algorithm (2024). 2023 3rd International Conference on Smart Generation Computing, Communication and Networking (SMART GENCON). DOI: 10.1109/SMARTGENCON60755.2023.10441864. Publisher: IEEE</w:t>
      </w:r>
    </w:p>
    <w:p w14:paraId="390E0B71" w14:textId="77777777" w:rsidR="00A80856" w:rsidRPr="00A80856" w:rsidRDefault="00A80856" w:rsidP="00A80856">
      <w:pPr>
        <w:pStyle w:val="whitespace-pre-wrap"/>
        <w:jc w:val="both"/>
        <w:rPr>
          <w:sz w:val="20"/>
          <w:szCs w:val="20"/>
        </w:rPr>
      </w:pPr>
      <w:r w:rsidRPr="00A80856">
        <w:rPr>
          <w:sz w:val="20"/>
          <w:szCs w:val="20"/>
        </w:rPr>
        <w:t>[11] ESG Investing: A Statistically Valid Approach to Data-Driven Decision Making and the Impact of ESG Factors on Stock Returns and Risk (2024). IEEE Access (Volume: 12). DOI: 10.1109/ACCESS.2024.3491873. Publisher: IEEE</w:t>
      </w:r>
    </w:p>
    <w:p w14:paraId="6AD9D081" w14:textId="77777777" w:rsidR="00A80856" w:rsidRPr="00061C75" w:rsidRDefault="00A80856" w:rsidP="00A80856">
      <w:pPr>
        <w:pStyle w:val="whitespace-pre-wrap"/>
        <w:jc w:val="both"/>
        <w:rPr>
          <w:sz w:val="20"/>
          <w:szCs w:val="20"/>
        </w:rPr>
      </w:pPr>
      <w:r w:rsidRPr="00A80856">
        <w:rPr>
          <w:sz w:val="20"/>
          <w:szCs w:val="20"/>
        </w:rPr>
        <w:t xml:space="preserve">[12] ESG Criteria in Investment Decision Making: Trends and Perspectives (2024). 2024 15th International Conference on Information, Intelligence, Systems &amp; Applications (IISA). Publication Date: 18 December 2024. </w:t>
      </w:r>
      <w:r w:rsidRPr="00A80856">
        <w:rPr>
          <w:sz w:val="20"/>
          <w:szCs w:val="20"/>
        </w:rPr>
        <w:lastRenderedPageBreak/>
        <w:t>DOI: 10.1109/IISA62523.2024.10786642. Publisher: IEEE</w:t>
      </w:r>
    </w:p>
    <w:p w14:paraId="7487619D" w14:textId="77777777" w:rsidR="00DE24D1" w:rsidRDefault="00DE24D1"/>
    <w:sectPr w:rsidR="00DE24D1" w:rsidSect="00DE24D1">
      <w:type w:val="continuous"/>
      <w:pgSz w:w="11906" w:h="16838"/>
      <w:pgMar w:top="532" w:right="892" w:bottom="1440" w:left="892" w:header="720" w:footer="720" w:gutter="0"/>
      <w:cols w:num="2" w:space="720" w:equalWidth="0">
        <w:col w:w="4699" w:space="720"/>
        <w:col w:w="4699"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66F53" w14:textId="77777777" w:rsidR="009B7E03" w:rsidRDefault="009B7E03">
      <w:pPr>
        <w:spacing w:line="240" w:lineRule="auto"/>
      </w:pPr>
      <w:r>
        <w:separator/>
      </w:r>
    </w:p>
  </w:endnote>
  <w:endnote w:type="continuationSeparator" w:id="0">
    <w:p w14:paraId="1FA74A79" w14:textId="77777777" w:rsidR="009B7E03" w:rsidRDefault="009B7E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09A6" w14:textId="77777777" w:rsidR="00DE24D1" w:rsidRDefault="00DE24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B3081" w14:textId="77777777" w:rsidR="00DE24D1" w:rsidRDefault="00DE24D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D463C" w14:textId="77777777" w:rsidR="00637A61" w:rsidRDefault="00637A6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B8940" w14:textId="77777777" w:rsidR="009B7E03" w:rsidRDefault="009B7E03">
      <w:pPr>
        <w:spacing w:line="240" w:lineRule="auto"/>
      </w:pPr>
      <w:r>
        <w:separator/>
      </w:r>
    </w:p>
  </w:footnote>
  <w:footnote w:type="continuationSeparator" w:id="0">
    <w:p w14:paraId="0CFC16CC" w14:textId="77777777" w:rsidR="009B7E03" w:rsidRDefault="009B7E0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0E517" w14:textId="77777777" w:rsidR="00DE24D1" w:rsidRDefault="00DE24D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54F1B" w14:textId="77777777" w:rsidR="00DE24D1" w:rsidRDefault="00DE24D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7B2D" w14:textId="77777777" w:rsidR="00637A61" w:rsidRDefault="00637A6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E2B82"/>
    <w:multiLevelType w:val="multilevel"/>
    <w:tmpl w:val="9ADC5342"/>
    <w:lvl w:ilvl="0">
      <w:start w:val="4"/>
      <w:numFmt w:val="upperRoman"/>
      <w:lvlText w:val="%1."/>
      <w:lvlJc w:val="right"/>
      <w:pPr>
        <w:ind w:left="36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107644A"/>
    <w:multiLevelType w:val="multilevel"/>
    <w:tmpl w:val="83D62132"/>
    <w:lvl w:ilvl="0">
      <w:start w:val="1"/>
      <w:numFmt w:val="decimal"/>
      <w:lvlText w:val="[%1]"/>
      <w:lvlJc w:val="left"/>
      <w:pPr>
        <w:ind w:left="357" w:hanging="357"/>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68508D"/>
    <w:multiLevelType w:val="multilevel"/>
    <w:tmpl w:val="CEDE9AE8"/>
    <w:lvl w:ilvl="0">
      <w:start w:val="1"/>
      <w:numFmt w:val="upperRoman"/>
      <w:lvlText w:val="%1."/>
      <w:lvlJc w:val="right"/>
      <w:pPr>
        <w:ind w:left="36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ED74590"/>
    <w:multiLevelType w:val="hybridMultilevel"/>
    <w:tmpl w:val="B83087F4"/>
    <w:lvl w:ilvl="0" w:tplc="AF34EE64">
      <w:start w:val="1"/>
      <w:numFmt w:val="upperRoman"/>
      <w:lvlText w:val="II%1"/>
      <w:lvlJc w:val="center"/>
      <w:pPr>
        <w:ind w:left="21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B55543"/>
    <w:multiLevelType w:val="hybridMultilevel"/>
    <w:tmpl w:val="E436774C"/>
    <w:lvl w:ilvl="0" w:tplc="FFFFFFFF">
      <w:start w:val="1"/>
      <w:numFmt w:val="upperRoman"/>
      <w:lvlText w:val="II%1"/>
      <w:lvlJc w:val="center"/>
      <w:pPr>
        <w:ind w:left="2880" w:hanging="360"/>
      </w:pPr>
      <w:rPr>
        <w:rFonts w:hint="default"/>
      </w:rPr>
    </w:lvl>
    <w:lvl w:ilvl="1" w:tplc="04090013">
      <w:start w:val="1"/>
      <w:numFmt w:val="upperRoman"/>
      <w:lvlText w:val="%2."/>
      <w:lvlJc w:val="righ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456F7937"/>
    <w:multiLevelType w:val="hybridMultilevel"/>
    <w:tmpl w:val="B59242D4"/>
    <w:lvl w:ilvl="0" w:tplc="EFC87ADA">
      <w:start w:val="2"/>
      <w:numFmt w:val="upp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DFB57C8"/>
    <w:multiLevelType w:val="hybridMultilevel"/>
    <w:tmpl w:val="CCAA3E0A"/>
    <w:lvl w:ilvl="0" w:tplc="AF34EE64">
      <w:start w:val="1"/>
      <w:numFmt w:val="upperRoman"/>
      <w:lvlText w:val="II%1"/>
      <w:lvlJc w:val="center"/>
      <w:pPr>
        <w:ind w:left="288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67C5F23"/>
    <w:multiLevelType w:val="multilevel"/>
    <w:tmpl w:val="0F9AF360"/>
    <w:lvl w:ilvl="0">
      <w:start w:val="6"/>
      <w:numFmt w:val="upperRoman"/>
      <w:lvlText w:val="%1."/>
      <w:lvlJc w:val="right"/>
      <w:pPr>
        <w:ind w:left="36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14C3EC7"/>
    <w:multiLevelType w:val="hybridMultilevel"/>
    <w:tmpl w:val="D84C96CC"/>
    <w:lvl w:ilvl="0" w:tplc="FFFFFFFF">
      <w:start w:val="1"/>
      <w:numFmt w:val="upperRoman"/>
      <w:lvlText w:val="II%1"/>
      <w:lvlJc w:val="center"/>
      <w:pPr>
        <w:ind w:left="2880" w:hanging="360"/>
      </w:pPr>
      <w:rPr>
        <w:rFonts w:hint="default"/>
      </w:rPr>
    </w:lvl>
    <w:lvl w:ilvl="1" w:tplc="41C231F6">
      <w:start w:val="2"/>
      <w:numFmt w:val="upperRoman"/>
      <w:lvlText w:val="%2."/>
      <w:lvlJc w:val="right"/>
      <w:pPr>
        <w:ind w:left="2160" w:hanging="360"/>
      </w:pPr>
      <w:rPr>
        <w:rFonts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742E5D32"/>
    <w:multiLevelType w:val="hybridMultilevel"/>
    <w:tmpl w:val="4774AE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52964420">
    <w:abstractNumId w:val="2"/>
  </w:num>
  <w:num w:numId="2" w16cid:durableId="241182477">
    <w:abstractNumId w:val="1"/>
  </w:num>
  <w:num w:numId="3" w16cid:durableId="1381857983">
    <w:abstractNumId w:val="7"/>
  </w:num>
  <w:num w:numId="4" w16cid:durableId="540242928">
    <w:abstractNumId w:val="0"/>
  </w:num>
  <w:num w:numId="5" w16cid:durableId="1468626450">
    <w:abstractNumId w:val="9"/>
  </w:num>
  <w:num w:numId="6" w16cid:durableId="462160662">
    <w:abstractNumId w:val="3"/>
  </w:num>
  <w:num w:numId="7" w16cid:durableId="1084650742">
    <w:abstractNumId w:val="6"/>
  </w:num>
  <w:num w:numId="8" w16cid:durableId="1178547155">
    <w:abstractNumId w:val="4"/>
  </w:num>
  <w:num w:numId="9" w16cid:durableId="502471337">
    <w:abstractNumId w:val="8"/>
  </w:num>
  <w:num w:numId="10" w16cid:durableId="6575380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4D1"/>
    <w:rsid w:val="000C3728"/>
    <w:rsid w:val="003C5340"/>
    <w:rsid w:val="005124BC"/>
    <w:rsid w:val="0055284F"/>
    <w:rsid w:val="00637A61"/>
    <w:rsid w:val="0078326A"/>
    <w:rsid w:val="008567C3"/>
    <w:rsid w:val="009B7E03"/>
    <w:rsid w:val="009F3867"/>
    <w:rsid w:val="00A80856"/>
    <w:rsid w:val="00BC6ACF"/>
    <w:rsid w:val="00BE289D"/>
    <w:rsid w:val="00DE24D1"/>
    <w:rsid w:val="00F46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5BA99"/>
  <w15:chartTrackingRefBased/>
  <w15:docId w15:val="{B3DB14DE-89DF-474B-A998-C40EB83E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E24D1"/>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DE2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4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4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4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4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4D1"/>
    <w:rPr>
      <w:rFonts w:eastAsiaTheme="majorEastAsia" w:cstheme="majorBidi"/>
      <w:color w:val="272727" w:themeColor="text1" w:themeTint="D8"/>
    </w:rPr>
  </w:style>
  <w:style w:type="paragraph" w:styleId="Title">
    <w:name w:val="Title"/>
    <w:basedOn w:val="Normal"/>
    <w:next w:val="Normal"/>
    <w:link w:val="TitleChar"/>
    <w:uiPriority w:val="10"/>
    <w:qFormat/>
    <w:rsid w:val="00DE2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4D1"/>
    <w:pPr>
      <w:spacing w:before="160"/>
      <w:jc w:val="center"/>
    </w:pPr>
    <w:rPr>
      <w:i/>
      <w:iCs/>
      <w:color w:val="404040" w:themeColor="text1" w:themeTint="BF"/>
    </w:rPr>
  </w:style>
  <w:style w:type="character" w:customStyle="1" w:styleId="QuoteChar">
    <w:name w:val="Quote Char"/>
    <w:basedOn w:val="DefaultParagraphFont"/>
    <w:link w:val="Quote"/>
    <w:uiPriority w:val="29"/>
    <w:rsid w:val="00DE24D1"/>
    <w:rPr>
      <w:i/>
      <w:iCs/>
      <w:color w:val="404040" w:themeColor="text1" w:themeTint="BF"/>
    </w:rPr>
  </w:style>
  <w:style w:type="paragraph" w:styleId="ListParagraph">
    <w:name w:val="List Paragraph"/>
    <w:basedOn w:val="Normal"/>
    <w:uiPriority w:val="34"/>
    <w:qFormat/>
    <w:rsid w:val="00DE24D1"/>
    <w:pPr>
      <w:ind w:left="720"/>
      <w:contextualSpacing/>
    </w:pPr>
  </w:style>
  <w:style w:type="character" w:styleId="IntenseEmphasis">
    <w:name w:val="Intense Emphasis"/>
    <w:basedOn w:val="DefaultParagraphFont"/>
    <w:uiPriority w:val="21"/>
    <w:qFormat/>
    <w:rsid w:val="00DE24D1"/>
    <w:rPr>
      <w:i/>
      <w:iCs/>
      <w:color w:val="0F4761" w:themeColor="accent1" w:themeShade="BF"/>
    </w:rPr>
  </w:style>
  <w:style w:type="paragraph" w:styleId="IntenseQuote">
    <w:name w:val="Intense Quote"/>
    <w:basedOn w:val="Normal"/>
    <w:next w:val="Normal"/>
    <w:link w:val="IntenseQuoteChar"/>
    <w:uiPriority w:val="30"/>
    <w:qFormat/>
    <w:rsid w:val="00DE2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4D1"/>
    <w:rPr>
      <w:i/>
      <w:iCs/>
      <w:color w:val="0F4761" w:themeColor="accent1" w:themeShade="BF"/>
    </w:rPr>
  </w:style>
  <w:style w:type="character" w:styleId="IntenseReference">
    <w:name w:val="Intense Reference"/>
    <w:basedOn w:val="DefaultParagraphFont"/>
    <w:uiPriority w:val="32"/>
    <w:qFormat/>
    <w:rsid w:val="00DE24D1"/>
    <w:rPr>
      <w:b/>
      <w:bCs/>
      <w:smallCaps/>
      <w:color w:val="0F4761" w:themeColor="accent1" w:themeShade="BF"/>
      <w:spacing w:val="5"/>
    </w:rPr>
  </w:style>
  <w:style w:type="paragraph" w:styleId="NormalWeb">
    <w:name w:val="Normal (Web)"/>
    <w:basedOn w:val="Normal"/>
    <w:uiPriority w:val="99"/>
    <w:unhideWhenUsed/>
    <w:rsid w:val="00DE24D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Author">
    <w:name w:val="Author"/>
    <w:rsid w:val="00DE24D1"/>
    <w:pPr>
      <w:spacing w:before="360" w:after="40" w:line="240" w:lineRule="auto"/>
      <w:jc w:val="center"/>
    </w:pPr>
    <w:rPr>
      <w:rFonts w:ascii="Times New Roman" w:eastAsia="SimSun" w:hAnsi="Times New Roman" w:cs="Times New Roman"/>
      <w:noProof/>
      <w:kern w:val="0"/>
      <w:sz w:val="22"/>
      <w:szCs w:val="22"/>
      <w14:ligatures w14:val="none"/>
    </w:rPr>
  </w:style>
  <w:style w:type="paragraph" w:styleId="BodyText">
    <w:name w:val="Body Text"/>
    <w:basedOn w:val="Normal"/>
    <w:link w:val="BodyTextChar"/>
    <w:uiPriority w:val="1"/>
    <w:unhideWhenUsed/>
    <w:qFormat/>
    <w:rsid w:val="00DE24D1"/>
    <w:pPr>
      <w:widowControl w:val="0"/>
      <w:autoSpaceDE w:val="0"/>
      <w:autoSpaceDN w:val="0"/>
      <w:spacing w:line="240" w:lineRule="auto"/>
    </w:pPr>
    <w:rPr>
      <w:rFonts w:ascii="Times New Roman" w:eastAsia="Times New Roman" w:hAnsi="Times New Roman" w:cs="Times New Roman"/>
      <w:sz w:val="20"/>
      <w:szCs w:val="20"/>
      <w:lang w:val="en-US"/>
    </w:rPr>
  </w:style>
  <w:style w:type="character" w:customStyle="1" w:styleId="BodyTextChar">
    <w:name w:val="Body Text Char"/>
    <w:basedOn w:val="DefaultParagraphFont"/>
    <w:link w:val="BodyText"/>
    <w:uiPriority w:val="1"/>
    <w:rsid w:val="00DE24D1"/>
    <w:rPr>
      <w:rFonts w:ascii="Times New Roman" w:eastAsia="Times New Roman" w:hAnsi="Times New Roman" w:cs="Times New Roman"/>
      <w:kern w:val="0"/>
      <w:sz w:val="20"/>
      <w:szCs w:val="20"/>
      <w14:ligatures w14:val="none"/>
    </w:rPr>
  </w:style>
  <w:style w:type="paragraph" w:customStyle="1" w:styleId="whitespace-pre-wrap">
    <w:name w:val="whitespace-pre-wrap"/>
    <w:basedOn w:val="Normal"/>
    <w:rsid w:val="00A8085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9511">
      <w:bodyDiv w:val="1"/>
      <w:marLeft w:val="0"/>
      <w:marRight w:val="0"/>
      <w:marTop w:val="0"/>
      <w:marBottom w:val="0"/>
      <w:divBdr>
        <w:top w:val="none" w:sz="0" w:space="0" w:color="auto"/>
        <w:left w:val="none" w:sz="0" w:space="0" w:color="auto"/>
        <w:bottom w:val="none" w:sz="0" w:space="0" w:color="auto"/>
        <w:right w:val="none" w:sz="0" w:space="0" w:color="auto"/>
      </w:divBdr>
    </w:div>
    <w:div w:id="284047667">
      <w:bodyDiv w:val="1"/>
      <w:marLeft w:val="0"/>
      <w:marRight w:val="0"/>
      <w:marTop w:val="0"/>
      <w:marBottom w:val="0"/>
      <w:divBdr>
        <w:top w:val="none" w:sz="0" w:space="0" w:color="auto"/>
        <w:left w:val="none" w:sz="0" w:space="0" w:color="auto"/>
        <w:bottom w:val="none" w:sz="0" w:space="0" w:color="auto"/>
        <w:right w:val="none" w:sz="0" w:space="0" w:color="auto"/>
      </w:divBdr>
    </w:div>
    <w:div w:id="854727965">
      <w:bodyDiv w:val="1"/>
      <w:marLeft w:val="0"/>
      <w:marRight w:val="0"/>
      <w:marTop w:val="0"/>
      <w:marBottom w:val="0"/>
      <w:divBdr>
        <w:top w:val="none" w:sz="0" w:space="0" w:color="auto"/>
        <w:left w:val="none" w:sz="0" w:space="0" w:color="auto"/>
        <w:bottom w:val="none" w:sz="0" w:space="0" w:color="auto"/>
        <w:right w:val="none" w:sz="0" w:space="0" w:color="auto"/>
      </w:divBdr>
    </w:div>
    <w:div w:id="1330403717">
      <w:bodyDiv w:val="1"/>
      <w:marLeft w:val="0"/>
      <w:marRight w:val="0"/>
      <w:marTop w:val="0"/>
      <w:marBottom w:val="0"/>
      <w:divBdr>
        <w:top w:val="none" w:sz="0" w:space="0" w:color="auto"/>
        <w:left w:val="none" w:sz="0" w:space="0" w:color="auto"/>
        <w:bottom w:val="none" w:sz="0" w:space="0" w:color="auto"/>
        <w:right w:val="none" w:sz="0" w:space="0" w:color="auto"/>
      </w:divBdr>
    </w:div>
    <w:div w:id="1477841135">
      <w:bodyDiv w:val="1"/>
      <w:marLeft w:val="0"/>
      <w:marRight w:val="0"/>
      <w:marTop w:val="0"/>
      <w:marBottom w:val="0"/>
      <w:divBdr>
        <w:top w:val="none" w:sz="0" w:space="0" w:color="auto"/>
        <w:left w:val="none" w:sz="0" w:space="0" w:color="auto"/>
        <w:bottom w:val="none" w:sz="0" w:space="0" w:color="auto"/>
        <w:right w:val="none" w:sz="0" w:space="0" w:color="auto"/>
      </w:divBdr>
    </w:div>
    <w:div w:id="1641183077">
      <w:bodyDiv w:val="1"/>
      <w:marLeft w:val="0"/>
      <w:marRight w:val="0"/>
      <w:marTop w:val="0"/>
      <w:marBottom w:val="0"/>
      <w:divBdr>
        <w:top w:val="none" w:sz="0" w:space="0" w:color="auto"/>
        <w:left w:val="none" w:sz="0" w:space="0" w:color="auto"/>
        <w:bottom w:val="none" w:sz="0" w:space="0" w:color="auto"/>
        <w:right w:val="none" w:sz="0" w:space="0" w:color="auto"/>
      </w:divBdr>
    </w:div>
    <w:div w:id="1688941161">
      <w:bodyDiv w:val="1"/>
      <w:marLeft w:val="0"/>
      <w:marRight w:val="0"/>
      <w:marTop w:val="0"/>
      <w:marBottom w:val="0"/>
      <w:divBdr>
        <w:top w:val="none" w:sz="0" w:space="0" w:color="auto"/>
        <w:left w:val="none" w:sz="0" w:space="0" w:color="auto"/>
        <w:bottom w:val="none" w:sz="0" w:space="0" w:color="auto"/>
        <w:right w:val="none" w:sz="0" w:space="0" w:color="auto"/>
      </w:divBdr>
    </w:div>
    <w:div w:id="2042240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3840</Words>
  <Characters>21892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Tarang Bhargava</dc:creator>
  <cp:keywords/>
  <dc:description/>
  <cp:lastModifiedBy>Tarang Bhargava</cp:lastModifiedBy>
  <cp:revision>3</cp:revision>
  <dcterms:created xsi:type="dcterms:W3CDTF">2025-04-22T12:06:00Z</dcterms:created>
  <dcterms:modified xsi:type="dcterms:W3CDTF">2025-04-22T13:58:00Z</dcterms:modified>
</cp:coreProperties>
</file>