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NorthWind Energy Services - Employee Leave and Business Travel Policy</w:t>
      </w:r>
    </w:p>
    <w:p>
      <w:r>
        <w:t>Document No: HR-POL-007 | Revision: 3.0 | Effective Date: 01 January 2025 | Document Owner: HR Operations | Applicable Payroll: India</w:t>
      </w:r>
    </w:p>
    <w:p>
      <w:pPr>
        <w:pStyle w:val="Heading2"/>
      </w:pPr>
      <w:r>
        <w:t>1. Applicability</w:t>
      </w:r>
    </w:p>
    <w:p>
      <w:r>
        <w:t>This policy applies to all confirmed full-time employees on the India payroll. Interns, retainers and third-party contract staff are governed by their individual engagement letters and are not covered by this policy.</w:t>
      </w:r>
    </w:p>
    <w:p>
      <w:pPr>
        <w:pStyle w:val="Heading2"/>
      </w:pPr>
      <w:r>
        <w:t>2. Leave Entitlements</w:t>
      </w:r>
    </w:p>
    <w:p>
      <w:r>
        <w:t>Earned Leave (EL): 21 working days per calendar year, accrued at 1.75 days per completed month of service. A maximum of 45 days of EL may be carried forward; any balance above 45 days lapses on 31 December. Accumulated EL is encashed at basic salary at the time of separation.</w:t>
      </w:r>
    </w:p>
    <w:p>
      <w:r>
        <w:t>Casual Leave (CL): 7 days per calendar year, to be availed for a maximum of 3 consecutive days at a time. Casual Leave cannot be carried forward and cannot be encashed.</w:t>
      </w:r>
    </w:p>
    <w:p>
      <w:r>
        <w:t>Sick Leave (SL): 10 days per calendar year. A registered medical practitioner's certificate is mandatory for any sick leave exceeding 3 consecutive days.</w:t>
      </w:r>
    </w:p>
    <w:p>
      <w:r>
        <w:t>Maternity Leave: 26 weeks of paid leave for the first two children and 12 weeks for the third child onwards, in line with the Maternity Benefit Act.</w:t>
      </w:r>
    </w:p>
    <w:p>
      <w:r>
        <w:t>Paternity Leave: 10 working days, to be availed within 6 months of the date of birth or adoption.</w:t>
      </w:r>
    </w:p>
    <w:p>
      <w:r>
        <w:t>Bereavement Leave: 5 calendar days in the event of the death of an immediate family member, defined as spouse, child, parent, sibling or parent-in-law.</w:t>
      </w:r>
    </w:p>
    <w:p>
      <w:pPr>
        <w:pStyle w:val="Heading2"/>
      </w:pPr>
      <w:r>
        <w:t>3. Leave Application and Approval</w:t>
      </w:r>
    </w:p>
    <w:p>
      <w:r>
        <w:t>All leave shall be applied through the Workday self-service portal. Earned Leave of more than 2 days must be applied at least 7 calendar days in advance.</w:t>
      </w:r>
    </w:p>
    <w:p>
      <w:r>
        <w:t>Emergency leave may be intimated by telephone or email to the reporting manager and must be regularised in Workday within 48 hours of resuming duty.</w:t>
      </w:r>
    </w:p>
    <w:p>
      <w:r>
        <w:t>Leave of up to 10 consecutive days is approved by the reporting manager. Any leave exceeding 10 consecutive days additionally requires Function Head approval.</w:t>
      </w:r>
    </w:p>
    <w:p>
      <w:r>
        <w:t>Leave without pay is permitted only after all leave balances are exhausted and requires HR Head approval.</w:t>
      </w:r>
    </w:p>
    <w:p>
      <w:pPr>
        <w:pStyle w:val="Heading2"/>
      </w:pPr>
      <w:r>
        <w:t>4. Site Deputation and Shift Allowances</w:t>
      </w:r>
    </w:p>
    <w:p>
      <w:r>
        <w:t>Employees deputed to a client site for a continuous period exceeding 15 days are eligible for a site deputation allowance of INR 1,200 per day from day 16 onwards.</w:t>
      </w:r>
    </w:p>
    <w:p>
      <w:r>
        <w:t>A night shift allowance of INR 450 per shift is payable for any shift where more than 4 hours fall between 22:00 and 06:00.</w:t>
      </w:r>
    </w:p>
    <w:p>
      <w:r>
        <w:t>Deputation allowance and per diem are not payable simultaneously for the same day; the higher of the two shall apply.</w:t>
      </w:r>
    </w:p>
    <w:p>
      <w:pPr>
        <w:pStyle w:val="Heading2"/>
      </w:pPr>
      <w:r>
        <w:t>5. Business Travel Entitlements</w:t>
      </w:r>
    </w:p>
    <w:p>
      <w:r>
        <w:t>Domestic air travel in economy class is permitted where the equivalent train journey exceeds 6 hours or the total door-to-door travel time exceeds 8 hours. In all other cases, AC 2-tier train travel is the default mode.</w:t>
      </w:r>
    </w:p>
    <w:p>
      <w:r>
        <w:t>Employees at Grade M3 and above may travel business class on international flights with a scheduled flying time exceeding 8 hours. All other international travel is in economy class.</w:t>
      </w:r>
    </w:p>
    <w:p>
      <w:r>
        <w:t>Hotel ceilings excluding taxes are INR 6,500 per night in metro cities and INR 4,500 per night in non-metro cities. Where a company or client guesthouse is available at the location, its use is mandatory.</w:t>
      </w:r>
    </w:p>
    <w:p>
      <w:r>
        <w:t>Airport transfers may be claimed on actuals against receipts. Use of the company travel desk for all bookings is mandatory; self-booked tickets require prior written approval.</w:t>
      </w:r>
    </w:p>
    <w:p>
      <w:pPr>
        <w:pStyle w:val="Heading2"/>
      </w:pPr>
      <w:r>
        <w:t>6. Per Diem</w:t>
      </w:r>
    </w:p>
    <w:p>
      <w:r>
        <w:t>Domestic per diem is INR 1,500 per day for metro cities and INR 1,100 per day for non-metro cities, payable without receipts to cover meals and incidentals.</w:t>
      </w:r>
    </w:p>
    <w:p>
      <w:r>
        <w:t>International per diem is USD 65 per day. Where meals are provided by the client or included in the hotel tariff, only 50% of the applicable per diem is payable.</w:t>
      </w:r>
    </w:p>
    <w:p>
      <w:r>
        <w:t>Per diem for the day of departure and the day of return is paid at 50% where the travel duration on that day is less than 8 hours.</w:t>
      </w:r>
    </w:p>
    <w:p>
      <w:pPr>
        <w:pStyle w:val="Heading2"/>
      </w:pPr>
      <w:r>
        <w:t>7. Expense Claims and Reimbursement</w:t>
      </w:r>
    </w:p>
    <w:p>
      <w:r>
        <w:t>All travel expense claims shall be submitted in Concur within 21 days of trip completion. Claims submitted after 45 days require written CFO approval and may be rejected.</w:t>
      </w:r>
    </w:p>
    <w:p>
      <w:r>
        <w:t>An original GST compliant invoice is mandatory for any single expense above INR 5,000. Expenses without supporting documents are limited to INR 500 per trip.</w:t>
      </w:r>
    </w:p>
    <w:p>
      <w:r>
        <w:t>Reimbursement is processed in the payroll cycle following claim approval, typically within 15 working days of manager approval.</w:t>
      </w:r>
    </w:p>
    <w:p>
      <w:pPr>
        <w:pStyle w:val="Heading2"/>
      </w:pPr>
      <w:r>
        <w:t>8. International Deputation and Visa</w:t>
      </w:r>
    </w:p>
    <w:p>
      <w:r>
        <w:t>Passport validity of at least 6 months beyond the intended date of return is mandatory before any international travel booking is confirmed.</w:t>
      </w:r>
    </w:p>
    <w:p>
      <w:r>
        <w:t>Corporate travel insurance is arranged by HR Operations for every international trip and is mandatory. Travel without an active policy number is not permitted.</w:t>
      </w:r>
    </w:p>
    <w:p>
      <w:r>
        <w:t>Any international deputation exceeding 90 days triggers a mandatory tax equalisation review by the Finance department before mobilisation.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