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Project Overview - Nexus Platform Modernization</w:t>
      </w:r>
    </w:p>
    <w:p>
      <w:pPr>
        <w:jc w:val="center"/>
      </w:pPr>
      <w:r>
        <w:rPr>
          <w:i/>
          <w:color w:val="646464"/>
          <w:sz w:val="18"/>
        </w:rPr>
        <w:t>Horizon Credentialing Services (fictional)</w:t>
      </w:r>
    </w:p>
    <w:p>
      <w:pPr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p>
      <w:pPr>
        <w:pStyle w:val="Heading1"/>
      </w:pPr>
      <w:r>
        <w:t>1. 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Nexus Platform Modernization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Horizon Credentialing Services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Delivery Partner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Meridian Digital Solutions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Commercial Model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Fixed price - two phases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Kick-off Date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06-Jan-2026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1 Baseline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Modernized platform UAT sign-off by 30-Jun-2026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2 Baseline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Identity/data migration and optimization by 30-Sep-2026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Program Manager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Alex Morgan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 Product Lead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Maya Collins</w:t>
            </w:r>
          </w:p>
        </w:tc>
      </w:tr>
    </w:tbl>
    <w:p>
      <w:pPr>
        <w:pStyle w:val="Heading1"/>
      </w:pPr>
      <w:r>
        <w:t>2. Business Objective and Scope</w:t>
      </w:r>
    </w:p>
    <w:p>
      <w:pPr>
        <w:pStyle w:val="ListBullet"/>
        <w:spacing w:after="60"/>
      </w:pPr>
      <w:r>
        <w:t>Modernize the legacy credentialing portal while maintaining functional parity for high-volume operational workflows.</w:t>
      </w:r>
    </w:p>
    <w:p>
      <w:pPr>
        <w:pStyle w:val="ListBullet"/>
        <w:spacing w:after="60"/>
      </w:pPr>
      <w:r>
        <w:t>Move the application to a supported technology stack using .NET 8, Angular, Azure-hosted services, and SQL Server.</w:t>
      </w:r>
    </w:p>
    <w:p>
      <w:pPr>
        <w:pStyle w:val="ListBullet"/>
        <w:spacing w:after="60"/>
      </w:pPr>
      <w:r>
        <w:t>Retain the familiar desktop-style Admin experience during Phase 1 to reduce operational disruption; broader UX redesign is deferred.</w:t>
      </w:r>
    </w:p>
    <w:p>
      <w:pPr>
        <w:pStyle w:val="ListBullet"/>
        <w:spacing w:after="60"/>
      </w:pPr>
      <w:r>
        <w:t>Integrate with external identity, course, exam, billing, notification, and learning systems through APIs/events.</w:t>
      </w:r>
    </w:p>
    <w:p>
      <w:pPr>
        <w:pStyle w:val="ListBullet"/>
        <w:spacing w:after="60"/>
      </w:pPr>
      <w:r>
        <w:t>Phase 2 includes identity-data migration, technical debt reduction, performance optimization, and selected workflow simplification.</w:t>
      </w:r>
    </w:p>
    <w:p>
      <w:pPr>
        <w:pStyle w:val="Heading1"/>
      </w:pPr>
      <w:r>
        <w:t>3. Key Personas and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84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Representative Workflows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Invitation, first login, course enrollment, exam scheduling, achievement history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acceptance, learner roster, exam setup, status review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User/role management, course setup, certification maintenance, reporting, exception handling</w:t>
            </w:r>
          </w:p>
        </w:tc>
      </w:tr>
    </w:tbl>
    <w:p>
      <w:pPr>
        <w:pStyle w:val="Heading1"/>
      </w:pPr>
      <w:r>
        <w:t>4. Architecture Guardrails</w:t>
      </w:r>
    </w:p>
    <w:p>
      <w:pPr>
        <w:pStyle w:val="ListBullet"/>
        <w:spacing w:after="60"/>
      </w:pPr>
      <w:r>
        <w:t>Single deployable application for the modernized portal, with internal modules kept in one repository unless there is a clear reuse case.</w:t>
      </w:r>
    </w:p>
    <w:p>
      <w:pPr>
        <w:pStyle w:val="ListBullet"/>
        <w:spacing w:after="60"/>
      </w:pPr>
      <w:r>
        <w:t>One CI/CD pipeline deploys front-end and back-end together; main branch must remain deployable.</w:t>
      </w:r>
    </w:p>
    <w:p>
      <w:pPr>
        <w:pStyle w:val="ListBullet"/>
        <w:spacing w:after="60"/>
      </w:pPr>
      <w:r>
        <w:t>SQL Server is the target database, with temporary dual-database compatibility permitted during transition.</w:t>
      </w:r>
    </w:p>
    <w:p>
      <w:pPr>
        <w:pStyle w:val="ListBullet"/>
        <w:spacing w:after="60"/>
      </w:pPr>
      <w:r>
        <w:t>External integrations use REST APIs or event messaging; environment-specific credentials and endpoints are managed outside source code.</w:t>
      </w:r>
    </w:p>
    <w:p>
      <w:pPr>
        <w:pStyle w:val="ListBullet"/>
        <w:spacing w:after="60"/>
      </w:pPr>
      <w:r>
        <w:t>Admin screens preserve legacy navigation; public-facing screens follow the enterprise design system and accessibility standards.</w:t>
      </w:r>
    </w:p>
    <w:p>
      <w:pPr>
        <w:pStyle w:val="Heading1"/>
      </w:pPr>
      <w:r>
        <w:t>5. Initial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Baseline Date</w:t>
            </w:r>
          </w:p>
        </w:tc>
        <w:tc>
          <w:tcPr>
            <w:tcW w:type="dxa" w:w="61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 and CI/CD ready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20-Feb-2026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Dev/QA/Stage deployable through pipeline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Application-wide demo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27-Mar-2026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Core Candidate/Faculty/Admin flows demonstrated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 feature complete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22-May-2026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Functional parity scope completed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UAT start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15-Jun-2026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Production-like environment stable; no open Sev-1 blockers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 UAT sign-off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30-Jun-2026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 scenarios passed; agreed defects dispositioned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2 complete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30-Sep-2026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Migration utility live; performance and stabilization targets met</w:t>
            </w:r>
          </w:p>
        </w:tc>
      </w:tr>
    </w:tbl>
    <w:p>
      <w:pPr>
        <w:pStyle w:val="Heading1"/>
      </w:pPr>
      <w:r>
        <w:t>6. Success Measures</w:t>
      </w:r>
    </w:p>
    <w:p>
      <w:pPr>
        <w:pStyle w:val="ListBullet"/>
        <w:spacing w:after="60"/>
      </w:pPr>
      <w:r>
        <w:t>No Severity-1 defects at UAT entry and at least 95% pass rate across agreed critical regression scenarios.</w:t>
      </w:r>
    </w:p>
    <w:p>
      <w:pPr>
        <w:pStyle w:val="ListBullet"/>
        <w:spacing w:after="60"/>
      </w:pPr>
      <w:r>
        <w:t>P95 response time below 2.5 seconds for the top 20 transactional workflows under agreed load.</w:t>
      </w:r>
    </w:p>
    <w:p>
      <w:pPr>
        <w:pStyle w:val="ListBullet"/>
        <w:spacing w:after="60"/>
      </w:pPr>
      <w:r>
        <w:t>No data-loss defects during migration rehearsal and production cutover.</w:t>
      </w:r>
    </w:p>
    <w:p>
      <w:pPr>
        <w:pStyle w:val="ListBullet"/>
        <w:spacing w:after="60"/>
      </w:pPr>
      <w:r>
        <w:t>WCAG 2.1 AA compliance for external-facing screens included in Phase 1.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Overview - Nexus Platform Modernization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