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 w:before="0"/>
        <w:jc w:val="center"/>
      </w:pPr>
      <w:r>
        <w:rPr>
          <w:b/>
          <w:color w:val="17365D"/>
          <w:sz w:val="18"/>
        </w:rPr>
        <w:t>Meeting Minutes - Architecture and Delivery Standards</w:t>
      </w:r>
    </w:p>
    <w:p>
      <w:pPr>
        <w:spacing w:after="30" w:before="0"/>
        <w:jc w:val="center"/>
      </w:pPr>
      <w:r>
        <w:rPr>
          <w:i/>
          <w:color w:val="646464"/>
          <w:sz w:val="18"/>
        </w:rPr>
        <w:t>18-May-2026 | NexusCert Platform Modernization</w:t>
      </w:r>
    </w:p>
    <w:p>
      <w:pPr>
        <w:spacing w:after="30" w:before="0"/>
        <w:jc w:val="center"/>
      </w:pPr>
      <w:r>
        <w:rPr>
          <w:b/>
          <w:color w:val="C00000"/>
          <w:sz w:val="16"/>
        </w:rPr>
        <w:t>SYNTHETIC PORTFOLIO DATASET - All organizations, people, dates, metrics and events are fictional.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Meeting Detail</w:t>
            </w:r>
          </w:p>
        </w:tc>
        <w:tc>
          <w:tcPr>
            <w:tcW w:type="dxa" w:w="8208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18-May-2026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Confirm technical guardrails and readiness approach before Phase 1 closure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Attendees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Alex Morgan (Program Manager); Maya Collins (Client Product); Ethan Brooks (Client Architecture); Sofia Ramirez (Delivery Engineering); Liam Foster (QA); Chloe Bennett (UX)</w:t>
            </w:r>
          </w:p>
        </w:tc>
      </w:tr>
    </w:tbl>
    <w:p>
      <w:pPr>
        <w:pStyle w:val="Heading1"/>
        <w:spacing w:after="30" w:before="0"/>
      </w:pPr>
      <w:r>
        <w:rPr>
          <w:sz w:val="23"/>
        </w:rPr>
        <w:t>1. Decisions and Consensus</w:t>
      </w:r>
    </w:p>
    <w:p>
      <w:pPr>
        <w:pStyle w:val="ListBullet"/>
        <w:spacing w:after="30" w:before="0"/>
      </w:pPr>
      <w:r>
        <w:t>Application structure: keep NexusCert as a single deployable application for Phase 1. Integration with enterprise services will continue through REST APIs and event messaging.</w:t>
      </w:r>
    </w:p>
    <w:p>
      <w:pPr>
        <w:pStyle w:val="ListBullet"/>
        <w:spacing w:after="30" w:before="0"/>
      </w:pPr>
      <w:r>
        <w:t>Repository: use one root solution and keep project-specific helper libraries in the same repository. Shared packages should be introduced only where there is a proven cross-product need.</w:t>
      </w:r>
    </w:p>
    <w:p>
      <w:pPr>
        <w:pStyle w:val="ListBullet"/>
        <w:spacing w:after="30" w:before="0"/>
      </w:pPr>
      <w:r>
        <w:t>Deployment: one pipeline must deploy the full application. Teams will favor small commits and keep the main branch releasable.</w:t>
      </w:r>
    </w:p>
    <w:p>
      <w:pPr>
        <w:pStyle w:val="ListBullet"/>
        <w:spacing w:after="30" w:before="0"/>
      </w:pPr>
      <w:r>
        <w:t>Database: SQL Server remains the target. During transition, selected services may temporarily read from the legacy PostgreSQL database until synchronization is proven.</w:t>
      </w:r>
    </w:p>
    <w:p>
      <w:pPr>
        <w:pStyle w:val="ListBullet"/>
        <w:spacing w:after="30" w:before="0"/>
      </w:pPr>
      <w:r>
        <w:t>Admin UX: preserve the legacy information architecture and menu order for Phase 1; use the enterprise component library underneath. External-facing login and candidate screens must follow the modern design system.</w:t>
      </w:r>
    </w:p>
    <w:p>
      <w:pPr>
        <w:pStyle w:val="ListBullet"/>
        <w:spacing w:after="30" w:before="0"/>
      </w:pPr>
      <w:r>
        <w:t>Testing: temporary diagnostic endpoints must not remain in production code. Automated unit/integration tests will replace manual test controllers before release.</w:t>
      </w:r>
    </w:p>
    <w:p>
      <w:pPr>
        <w:pStyle w:val="Heading1"/>
        <w:spacing w:after="30" w:before="0"/>
      </w:pPr>
      <w:r>
        <w:rPr>
          <w:sz w:val="23"/>
        </w:rPr>
        <w:t>2. Open Questions /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168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Dependency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Needed By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Identity Service admin-role API contract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Client Identity Team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22-May-2026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Swagger is available; final permission model still needs confirmation.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QA/Stage database owner permissions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Client Platform Team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20-May-2026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 Progress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Read access exists; schema migration requires elevated rights.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Enterprise design-system mapping for legacy buttons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Client UX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25-May-2026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Needed to resolve primary/secondary/tertiary action patterns.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Performance-test responsibility confirmation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Program Leadership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21-May-2026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Scope ownership must be confirmed before load-test planning is finalized.</w:t>
            </w:r>
          </w:p>
        </w:tc>
      </w:tr>
    </w:tbl>
    <w:p>
      <w:pPr>
        <w:pStyle w:val="Heading1"/>
        <w:spacing w:after="30" w:before="0"/>
      </w:pPr>
      <w:r>
        <w:rPr>
          <w:sz w:val="23"/>
        </w:rPr>
        <w:t>3.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5472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Due Date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Share finalized admin-role API examples and permission IDs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Ethan Brooks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22-May-2026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Provide database schema-owner access for QA and Stage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Maya Collins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20-May-2026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 Progress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Publish migration scripts to repository /database/scripts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Sofia Ramirez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19-May-2026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Done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Share design-system mapping guidance for legacy controls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Chloe Bennett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25-May-2026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Confirm performance/load-testing scope and ownership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Alex Morgan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21-May-2026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NexusCert Modernization | Synthetic Portfolio Dataset | No real client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- Architecture and Delivery Standards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