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AssessPro weekly status report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AssessPro Modernization &amp; Feature Expansion</w:t>
            </w:r>
          </w:p>
        </w:tc>
      </w:tr>
      <w:tr>
        <w:tc>
          <w:tcPr>
            <w:tcW w:type="dxa" w:w="4320"/>
          </w:tcPr>
          <w:p>
            <w:r>
              <w:t>Reporting date</w:t>
            </w:r>
          </w:p>
        </w:tc>
        <w:tc>
          <w:tcPr>
            <w:tcW w:type="dxa" w:w="4320"/>
          </w:tcPr>
          <w:p>
            <w:r>
              <w:t>2026-09-18</w:t>
            </w:r>
          </w:p>
        </w:tc>
      </w:tr>
      <w:tr>
        <w:tc>
          <w:tcPr>
            <w:tcW w:type="dxa" w:w="4320"/>
          </w:tcPr>
          <w:p>
            <w:r>
              <w:t>Reported overall health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Target production release</w:t>
            </w:r>
          </w:p>
        </w:tc>
        <w:tc>
          <w:tcPr>
            <w:tcW w:type="dxa" w:w="4320"/>
          </w:tcPr>
          <w:p>
            <w:r>
              <w:t>2026-11-30</w:t>
            </w:r>
          </w:p>
        </w:tc>
      </w:tr>
    </w:tbl>
    <w:p>
      <w:pPr>
        <w:pStyle w:val="Heading1"/>
      </w:pPr>
      <w:r>
        <w:t>Delivery update</w:t>
      </w:r>
    </w:p>
    <w:p>
      <w:pPr>
        <w:pStyle w:val="ListBullet"/>
      </w:pPr>
      <w:r>
        <w:t>Overall status is GREEN. Development is broadly on track.</w:t>
      </w:r>
    </w:p>
    <w:p>
      <w:pPr>
        <w:pStyle w:val="ListBullet"/>
      </w:pPr>
      <w:r>
        <w:t>Proctoring certification was planned for 9 September but is still pending.</w:t>
      </w:r>
    </w:p>
    <w:p>
      <w:pPr>
        <w:pStyle w:val="ListBullet"/>
      </w:pPr>
      <w:r>
        <w:t>No release impact is currently anticipated.</w:t>
      </w:r>
    </w:p>
    <w:p>
      <w:pPr>
        <w:pStyle w:val="ListBullet"/>
      </w:pPr>
      <w:r>
        <w:t>11 Severity-2 scoring defects remain open.</w:t>
      </w:r>
    </w:p>
    <w:p>
      <w:pPr>
        <w:pStyle w:val="ListBullet"/>
      </w:pPr>
      <w:r>
        <w:t>Accessibility testing has not started.</w:t>
      </w:r>
    </w:p>
    <w:p>
      <w:pPr>
        <w:pStyle w:val="ListBullet"/>
      </w:pPr>
      <w:r>
        <w:t>Reporting requirements have changed after development began.</w:t>
      </w:r>
    </w:p>
    <w:p>
      <w:pPr>
        <w:pStyle w:val="ListBullet"/>
      </w:pPr>
      <w:r>
        <w:t>One performance optimization item has slipped to the next sprint.</w:t>
      </w:r>
    </w:p>
    <w:p>
      <w:pPr>
        <w:pStyle w:val="ListBullet"/>
      </w:pPr>
      <w:r>
        <w:t>No immediate escalation is required.</w:t>
      </w:r>
    </w:p>
    <w:p>
      <w:pPr>
        <w:pStyle w:val="Heading1"/>
      </w:pPr>
      <w:r>
        <w:t>Evidence clarification</w:t>
      </w:r>
    </w:p>
    <w:p>
      <w:r>
        <w:t>The PM narrative calls all 11 Severity-2 defects scoring defects. The detailed quality snapshot classifies 6 as scoring defects; the rules use the structured quality counts and retain this narrative discrepancy for reviewer visibility.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