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5F5F5" w:val="solid"/>
          </w:tcPr>
          <w:p>
            <w:r>
              <w:rPr>
                <w:b/>
                <w:bCs/>
                <w:sz w:val="20"/>
                <w:szCs w:val="20"/>
              </w:rPr>
              <w:t xml:space="preserve">Client</w:t>
            </w:r>
          </w:p>
        </w:tc>
        <w:tc>
          <w:tcPr>
            <w:tcW w:type="pct" w:w="70%"/>
            <w:tcBorders>
              <w:top w:val="single" w:color="CCCCCC" w:sz="1"/>
              <w:left w:val="single" w:color="CCCCCC" w:sz="1"/>
              <w:bottom w:val="single" w:color="CCCCCC" w:sz="1"/>
              <w:right w:val="single" w:color="CCCCCC" w:sz="1"/>
            </w:tcBorders>
          </w:tcPr>
          <w:p>
            <w:r>
              <w:t xml:space="preserve">Konnet AI (konnet.ai)</w:t>
            </w:r>
          </w:p>
        </w:tc>
      </w:tr>
      <w:tr>
        <w:tc>
          <w:tcPr>
            <w:tcW w:type="pct" w:w="30%"/>
            <w:tcBorders>
              <w:top w:val="single" w:color="CCCCCC" w:sz="1"/>
              <w:left w:val="single" w:color="CCCCCC" w:sz="1"/>
              <w:bottom w:val="single" w:color="CCCCCC" w:sz="1"/>
              <w:right w:val="single" w:color="CCCCCC" w:sz="1"/>
            </w:tcBorders>
            <w:shd w:color="F5F5F5" w:val="solid"/>
          </w:tcPr>
          <w:p>
            <w:r>
              <w:rPr>
                <w:b/>
                <w:bCs/>
                <w:sz w:val="20"/>
                <w:szCs w:val="20"/>
              </w:rPr>
              <w:t xml:space="preserve">Strategy Partner</w:t>
            </w:r>
          </w:p>
        </w:tc>
        <w:tc>
          <w:tcPr>
            <w:tcW w:type="pct" w:w="70%"/>
            <w:tcBorders>
              <w:top w:val="single" w:color="CCCCCC" w:sz="1"/>
              <w:left w:val="single" w:color="CCCCCC" w:sz="1"/>
              <w:bottom w:val="single" w:color="CCCCCC" w:sz="1"/>
              <w:right w:val="single" w:color="CCCCCC" w:sz="1"/>
            </w:tcBorders>
          </w:tcPr>
          <w:p>
            <w:r>
              <w:t xml:space="preserve">Alvion AI Strategy</w:t>
            </w:r>
          </w:p>
        </w:tc>
      </w:tr>
      <w:tr>
        <w:tc>
          <w:tcPr>
            <w:tcW w:type="pct" w:w="30%"/>
            <w:tcBorders>
              <w:top w:val="single" w:color="CCCCCC" w:sz="1"/>
              <w:left w:val="single" w:color="CCCCCC" w:sz="1"/>
              <w:bottom w:val="single" w:color="CCCCCC" w:sz="1"/>
              <w:right w:val="single" w:color="CCCCCC" w:sz="1"/>
            </w:tcBorders>
            <w:shd w:color="F5F5F5" w:val="solid"/>
          </w:tcPr>
          <w:p>
            <w:r>
              <w:rPr>
                <w:b/>
                <w:bCs/>
                <w:sz w:val="20"/>
                <w:szCs w:val="20"/>
              </w:rPr>
              <w:t xml:space="preserve">Date</w:t>
            </w:r>
          </w:p>
        </w:tc>
        <w:tc>
          <w:tcPr>
            <w:tcW w:type="pct" w:w="70%"/>
            <w:tcBorders>
              <w:top w:val="single" w:color="CCCCCC" w:sz="1"/>
              <w:left w:val="single" w:color="CCCCCC" w:sz="1"/>
              <w:bottom w:val="single" w:color="CCCCCC" w:sz="1"/>
              <w:right w:val="single" w:color="CCCCCC" w:sz="1"/>
            </w:tcBorders>
          </w:tcPr>
          <w:p>
            <w:r>
              <w:t xml:space="preserve">October 24, 2023</w:t>
            </w:r>
          </w:p>
        </w:tc>
      </w:tr>
      <w:tr>
        <w:tc>
          <w:tcPr>
            <w:tcW w:type="pct" w:w="30%"/>
            <w:tcBorders>
              <w:top w:val="single" w:color="CCCCCC" w:sz="1"/>
              <w:left w:val="single" w:color="CCCCCC" w:sz="1"/>
              <w:bottom w:val="single" w:color="CCCCCC" w:sz="1"/>
              <w:right w:val="single" w:color="CCCCCC" w:sz="1"/>
            </w:tcBorders>
            <w:shd w:color="F5F5F5" w:val="solid"/>
          </w:tcPr>
          <w:p>
            <w:r>
              <w:rPr>
                <w:b/>
                <w:bCs/>
                <w:sz w:val="20"/>
                <w:szCs w:val="20"/>
              </w:rPr>
              <w:t xml:space="preserve">Subject</w:t>
            </w:r>
          </w:p>
        </w:tc>
        <w:tc>
          <w:tcPr>
            <w:tcW w:type="pct" w:w="70%"/>
            <w:tcBorders>
              <w:top w:val="single" w:color="CCCCCC" w:sz="1"/>
              <w:left w:val="single" w:color="CCCCCC" w:sz="1"/>
              <w:bottom w:val="single" w:color="CCCCCC" w:sz="1"/>
              <w:right w:val="single" w:color="CCCCCC" w:sz="1"/>
            </w:tcBorders>
          </w:tcPr>
          <w:p>
            <w:r>
              <w:t xml:space="preserve">Product-Led Growth &amp; Market Penetration Strategy</w:t>
            </w:r>
          </w:p>
        </w:tc>
      </w:tr>
    </w:tbl>
    <w:p/>
    <w:p>
      <w:pPr>
        <w:pStyle w:val="Heading1"/>
        <w:spacing w:before="400" w:after="100"/>
      </w:pPr>
      <w:r>
        <w:t xml:space="preserve">Executive Summary</w:t>
      </w:r>
    </w:p>
    <w:p>
      <w:pPr>
        <w:spacing w:after="120"/>
      </w:pPr>
      <w:r>
        <w:t xml:space="preserve">Konnet AI is positioned at the intersection of professional networking and generative intelligence. As the market for automated outreach matures, the differentiator shifts from mere 'automation' to 'intelligent relevance.' This proposal by Alvion AI Strategy outlines a framework to transition Konnet AI from a utility tool to an essential ecosystem for professional relationship management.</w:t>
      </w:r>
    </w:p>
    <w:p>
      <w:pPr>
        <w:pStyle w:val="Heading2"/>
        <w:spacing w:before="200" w:after="100"/>
      </w:pPr>
      <w:r>
        <w:t xml:space="preserve">Strategic Objectives</w:t>
      </w:r>
    </w:p>
    <w:p>
      <w:pPr>
        <w:spacing w:before="100" w:after="60"/>
      </w:pPr>
      <w:r>
        <w:rPr>
          <w:b/>
          <w:bCs/>
        </w:rPr>
        <w:t xml:space="preserve">The following objectives are designed to accelerate Konnet AI's market share and user retention:</w:t>
      </w:r>
    </w:p>
    <w:p>
      <w:pPr>
        <w:pStyle w:val="ListParagraph"/>
        <w:numPr>
          <w:ilvl w:val="0"/>
          <w:numId w:val="1"/>
        </w:numPr>
        <w:spacing w:after="60"/>
      </w:pPr>
      <w:r>
        <w:t xml:space="preserve">Optimize the AI personalization engine to reduce 'bot-like' patterns and increase positive response rates by 40%.</w:t>
      </w:r>
    </w:p>
    <w:p>
      <w:pPr>
        <w:pStyle w:val="ListParagraph"/>
        <w:numPr>
          <w:ilvl w:val="0"/>
          <w:numId w:val="1"/>
        </w:numPr>
        <w:spacing w:after="60"/>
      </w:pPr>
      <w:r>
        <w:t xml:space="preserve">Implement a Product-Led Growth (PLG) model to drive organic viral coefficients within professional communities.</w:t>
      </w:r>
    </w:p>
    <w:p>
      <w:pPr>
        <w:pStyle w:val="ListParagraph"/>
        <w:numPr>
          <w:ilvl w:val="0"/>
          <w:numId w:val="1"/>
        </w:numPr>
        <w:spacing w:after="60"/>
      </w:pPr>
      <w:r>
        <w:t xml:space="preserve">Establish a robust data moat by leveraging proprietary interaction insights to refine user-specific personas.</w:t>
      </w:r>
    </w:p>
    <w:p>
      <w:pPr>
        <w:pStyle w:val="ListParagraph"/>
        <w:numPr>
          <w:ilvl w:val="0"/>
          <w:numId w:val="1"/>
        </w:numPr>
        <w:spacing w:after="60"/>
      </w:pPr>
      <w:r>
        <w:t xml:space="preserve">Scale enterprise-grade features to transition from individual users to team-wide deployments.</w:t>
      </w:r>
    </w:p>
    <w:p>
      <w:pPr>
        <w:pStyle w:val="Heading2"/>
        <w:spacing w:before="200" w:after="100"/>
      </w:pPr>
      <w:r>
        <w:t xml:space="preserve">Implementation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color="1A1A1A" w:val="solid"/>
          </w:tcPr>
          <w:p>
            <w:r>
              <w:rPr>
                <w:b/>
                <w:bCs/>
                <w:color w:val="FFFFFF"/>
                <w:sz w:val="20"/>
                <w:szCs w:val="20"/>
              </w:rPr>
              <w:t xml:space="preserve">Phase</w:t>
            </w:r>
          </w:p>
        </w:tc>
        <w:tc>
          <w:tcPr>
            <w:tcBorders>
              <w:top w:val="single" w:color="CCCCCC" w:sz="1"/>
              <w:left w:val="single" w:color="CCCCCC" w:sz="1"/>
              <w:bottom w:val="single" w:color="CCCCCC" w:sz="1"/>
              <w:right w:val="single" w:color="CCCCCC" w:sz="1"/>
            </w:tcBorders>
            <w:shd w:color="1A1A1A" w:val="solid"/>
          </w:tcPr>
          <w:p>
            <w:r>
              <w:rPr>
                <w:b/>
                <w:bCs/>
                <w:color w:val="FFFFFF"/>
                <w:sz w:val="20"/>
                <w:szCs w:val="20"/>
              </w:rPr>
              <w:t xml:space="preserve">Key Activities</w:t>
            </w:r>
          </w:p>
        </w:tc>
        <w:tc>
          <w:tcPr>
            <w:tcBorders>
              <w:top w:val="single" w:color="CCCCCC" w:sz="1"/>
              <w:left w:val="single" w:color="CCCCCC" w:sz="1"/>
              <w:bottom w:val="single" w:color="CCCCCC" w:sz="1"/>
              <w:right w:val="single" w:color="CCCCCC" w:sz="1"/>
            </w:tcBorders>
            <w:shd w:color="1A1A1A" w:val="solid"/>
          </w:tcPr>
          <w:p>
            <w:r>
              <w:rPr>
                <w:b/>
                <w:bCs/>
                <w:color w:val="FFFFFF"/>
                <w:sz w:val="20"/>
                <w:szCs w:val="20"/>
              </w:rPr>
              <w:t xml:space="preserve">Deliverable</w:t>
            </w:r>
          </w:p>
        </w:tc>
      </w:tr>
      <w:tr>
        <w:tc>
          <w:tcPr>
            <w:tcBorders>
              <w:top w:val="single" w:color="CCCCCC" w:sz="1"/>
              <w:left w:val="single" w:color="CCCCCC" w:sz="1"/>
              <w:bottom w:val="single" w:color="CCCCCC" w:sz="1"/>
              <w:right w:val="single" w:color="CCCCCC" w:sz="1"/>
            </w:tcBorders>
            <w:shd w:color="FFFFFF" w:val="solid"/>
          </w:tcPr>
          <w:p>
            <w:r>
              <w:t xml:space="preserve">Phase 1: Diagnostic</w:t>
            </w:r>
          </w:p>
        </w:tc>
        <w:tc>
          <w:tcPr>
            <w:tcBorders>
              <w:top w:val="single" w:color="CCCCCC" w:sz="1"/>
              <w:left w:val="single" w:color="CCCCCC" w:sz="1"/>
              <w:bottom w:val="single" w:color="CCCCCC" w:sz="1"/>
              <w:right w:val="single" w:color="CCCCCC" w:sz="1"/>
            </w:tcBorders>
            <w:shd w:color="FFFFFF" w:val="solid"/>
          </w:tcPr>
          <w:p>
            <w:r>
              <w:t xml:space="preserve">Audit of current user funnels and AI output quality.</w:t>
            </w:r>
          </w:p>
        </w:tc>
        <w:tc>
          <w:tcPr>
            <w:tcBorders>
              <w:top w:val="single" w:color="CCCCCC" w:sz="1"/>
              <w:left w:val="single" w:color="CCCCCC" w:sz="1"/>
              <w:bottom w:val="single" w:color="CCCCCC" w:sz="1"/>
              <w:right w:val="single" w:color="CCCCCC" w:sz="1"/>
            </w:tcBorders>
            <w:shd w:color="FFFFFF" w:val="solid"/>
          </w:tcPr>
          <w:p>
            <w:r>
              <w:t xml:space="preserve">Strategic Gap Analysis Report</w:t>
            </w:r>
          </w:p>
        </w:tc>
      </w:tr>
      <w:tr>
        <w:tc>
          <w:tcPr>
            <w:tcBorders>
              <w:top w:val="single" w:color="CCCCCC" w:sz="1"/>
              <w:left w:val="single" w:color="CCCCCC" w:sz="1"/>
              <w:bottom w:val="single" w:color="CCCCCC" w:sz="1"/>
              <w:right w:val="single" w:color="CCCCCC" w:sz="1"/>
            </w:tcBorders>
            <w:shd w:color="FAFAFA" w:val="solid"/>
          </w:tcPr>
          <w:p>
            <w:r>
              <w:t xml:space="preserve">Phase 2: Optimization</w:t>
            </w:r>
          </w:p>
        </w:tc>
        <w:tc>
          <w:tcPr>
            <w:tcBorders>
              <w:top w:val="single" w:color="CCCCCC" w:sz="1"/>
              <w:left w:val="single" w:color="CCCCCC" w:sz="1"/>
              <w:bottom w:val="single" w:color="CCCCCC" w:sz="1"/>
              <w:right w:val="single" w:color="CCCCCC" w:sz="1"/>
            </w:tcBorders>
            <w:shd w:color="FAFAFA" w:val="solid"/>
          </w:tcPr>
          <w:p>
            <w:r>
              <w:t xml:space="preserve">Refinement of the LLM prompting architecture and UX workflows.</w:t>
            </w:r>
          </w:p>
        </w:tc>
        <w:tc>
          <w:tcPr>
            <w:tcBorders>
              <w:top w:val="single" w:color="CCCCCC" w:sz="1"/>
              <w:left w:val="single" w:color="CCCCCC" w:sz="1"/>
              <w:bottom w:val="single" w:color="CCCCCC" w:sz="1"/>
              <w:right w:val="single" w:color="CCCCCC" w:sz="1"/>
            </w:tcBorders>
            <w:shd w:color="FAFAFA" w:val="solid"/>
          </w:tcPr>
          <w:p>
            <w:r>
              <w:t xml:space="preserve">Enhanced Conversion Framework</w:t>
            </w:r>
          </w:p>
        </w:tc>
      </w:tr>
      <w:tr>
        <w:tc>
          <w:tcPr>
            <w:tcBorders>
              <w:top w:val="single" w:color="CCCCCC" w:sz="1"/>
              <w:left w:val="single" w:color="CCCCCC" w:sz="1"/>
              <w:bottom w:val="single" w:color="CCCCCC" w:sz="1"/>
              <w:right w:val="single" w:color="CCCCCC" w:sz="1"/>
            </w:tcBorders>
            <w:shd w:color="FFFFFF" w:val="solid"/>
          </w:tcPr>
          <w:p>
            <w:r>
              <w:t xml:space="preserve">Phase 3: Scaling</w:t>
            </w:r>
          </w:p>
        </w:tc>
        <w:tc>
          <w:tcPr>
            <w:tcBorders>
              <w:top w:val="single" w:color="CCCCCC" w:sz="1"/>
              <w:left w:val="single" w:color="CCCCCC" w:sz="1"/>
              <w:bottom w:val="single" w:color="CCCCCC" w:sz="1"/>
              <w:right w:val="single" w:color="CCCCCC" w:sz="1"/>
            </w:tcBorders>
            <w:shd w:color="FFFFFF" w:val="solid"/>
          </w:tcPr>
          <w:p>
            <w:r>
              <w:t xml:space="preserve">Launch of referral loops and multi-channel outreach capabilities.</w:t>
            </w:r>
          </w:p>
        </w:tc>
        <w:tc>
          <w:tcPr>
            <w:tcBorders>
              <w:top w:val="single" w:color="CCCCCC" w:sz="1"/>
              <w:left w:val="single" w:color="CCCCCC" w:sz="1"/>
              <w:bottom w:val="single" w:color="CCCCCC" w:sz="1"/>
              <w:right w:val="single" w:color="CCCCCC" w:sz="1"/>
            </w:tcBorders>
            <w:shd w:color="FFFFFF" w:val="solid"/>
          </w:tcPr>
          <w:p>
            <w:r>
              <w:t xml:space="preserve">GTM Expansion Playbook</w:t>
            </w:r>
          </w:p>
        </w:tc>
      </w:tr>
    </w:tbl>
    <w:p/>
    <w:p>
      <w:pPr>
        <w:pStyle w:val="Heading2"/>
        <w:spacing w:before="200" w:after="100"/>
      </w:pPr>
      <w:r>
        <w:t xml:space="preserve">Discovery &amp; Alignment</w:t>
      </w:r>
    </w:p>
    <w:p>
      <w:pPr>
        <w:spacing w:before="200" w:after="80"/>
      </w:pPr>
      <w:r>
        <w:rPr>
          <w:b/>
          <w:bCs/>
          <w:i/>
          <w:iCs/>
        </w:rPr>
        <w:t xml:space="preserve">Operational Context</w:t>
      </w:r>
    </w:p>
    <w:p>
      <w:pPr>
        <w:pStyle w:val="ListParagraph"/>
        <w:numPr>
          <w:ilvl w:val="0"/>
          <w:numId w:val="1"/>
        </w:numPr>
        <w:spacing w:after="60"/>
      </w:pPr>
      <w:r>
        <w:t xml:space="preserve">What is the current primary friction point in the user onboarding journey?</w:t>
      </w:r>
    </w:p>
    <w:p>
      <w:pPr>
        <w:pStyle w:val="ListParagraph"/>
        <w:numPr>
          <w:ilvl w:val="0"/>
          <w:numId w:val="1"/>
        </w:numPr>
        <w:spacing w:after="60"/>
      </w:pPr>
      <w:r>
        <w:t xml:space="preserve">Which specific user personas (e.g., SDRs, Founders, Recruiters) are exhibiting the highest LTV?</w:t>
      </w:r>
    </w:p>
    <w:p>
      <w:pPr>
        <w:pStyle w:val="ListParagraph"/>
        <w:numPr>
          <w:ilvl w:val="0"/>
          <w:numId w:val="1"/>
        </w:numPr>
        <w:spacing w:after="60"/>
      </w:pPr>
      <w:r>
        <w:t xml:space="preserve">What are the existing limitations within the current API integrations that hinder workflow automation?</w:t>
      </w:r>
    </w:p>
    <w:p>
      <w:pPr>
        <w:pStyle w:val="Heading3"/>
        <w:spacing w:before="200" w:after="100"/>
      </w:pPr>
      <w:r>
        <w:t xml:space="preserve">Expected Outcomes</w:t>
      </w:r>
    </w:p>
    <w:p>
      <w:pPr>
        <w:spacing w:after="120"/>
      </w:pPr>
      <w:r>
        <w:t xml:space="preserve">By aligning the product roadmap with the Alvion AI framework, Konnet AI can expect a more predictable customer acquisition cost (CAC) and a significant increase in the viral growth rate. Our focus remains on making Konnet the 'intelligent layer' that professionals rely on for every external communication.</w:t>
      </w:r>
    </w:p>
    <w:p>
      <w:pPr>
        <w:spacing w:before="600"/>
        <w:jc w:val="center"/>
      </w:pPr>
      <w:r>
        <w:rPr>
          <w:i/>
          <w:iCs/>
          <w:color w:val="666666"/>
          <w:sz w:val="18"/>
          <w:szCs w:val="18"/>
        </w:rPr>
        <w:t xml:space="preserve">Alvion AI Strategy | Propelling the Future of Generative Business | alvionstrategy.ai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pPr>
      <w:spacing w:before="400" w:after="100"/>
    </w:pPr>
    <w:rPr>
      <w:rFonts w:ascii="Calibri" w:cs="Calibri" w:eastAsia="Calibri" w:hAnsi="Calibri"/>
      <w:b/>
      <w:bCs/>
      <w:color w:val="1A1A1A"/>
      <w:sz w:val="28"/>
      <w:szCs w:val="28"/>
    </w:rPr>
  </w:style>
  <w:style w:type="paragraph" w:styleId="Heading2">
    <w:name w:val="Heading 2"/>
    <w:pPr>
      <w:spacing w:before="300" w:after="8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2026-02-22T05:43:10.007Z</dcterms:created>
  <dcterms:modified xsi:type="dcterms:W3CDTF">2026-02-22T05:43:10.007Z</dcterms:modified>
</cp:coreProperties>
</file>

<file path=docProps/custom.xml><?xml version="1.0" encoding="utf-8"?>
<Properties xmlns="http://schemas.openxmlformats.org/officeDocument/2006/custom-properties" xmlns:vt="http://schemas.openxmlformats.org/officeDocument/2006/docPropsVTypes"/>
</file>