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252F"/>
          <w:sz w:val="32"/>
        </w:rPr>
        <w:t>MU Parking Permit — Payment Workflow</w:t>
      </w:r>
    </w:p>
    <w:p>
      <w:pPr>
        <w:spacing w:after="120"/>
        <w:jc w:val="center"/>
      </w:pPr>
      <w:r>
        <w:rPr>
          <w:i/>
          <w:sz w:val="20"/>
        </w:rPr>
        <w:t>Methodist University  |  June 10, 2026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ectPr>
          <w:pgSz w:w="15840" w:h="12240" w:orient="landscape"/>
          <w:pgMar w:top="576" w:right="648" w:bottom="576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1A252F"/>
        </w:rPr>
        <w:t>Workflow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47"/>
            <w:shd w:val="clear" w:color="auto" w:fill="D9E1F2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520"/>
            <w:shd w:val="clear" w:color="auto" w:fill="D9E1F2"/>
          </w:tcPr>
          <w:p>
            <w:r>
              <w:rPr>
                <w:b/>
                <w:sz w:val="18"/>
              </w:rPr>
              <w:t>Actor(s)</w:t>
            </w:r>
          </w:p>
        </w:tc>
        <w:tc>
          <w:tcPr>
            <w:tcW w:type="dxa" w:w="4896"/>
            <w:shd w:val="clear" w:color="auto" w:fill="D9E1F2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4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Submit vehicle registration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Student submits the EIP vehicle registration form. The form triggers the EIP workflow.</w:t>
            </w:r>
          </w:p>
        </w:tc>
      </w:tr>
      <w:tr>
        <w:tc>
          <w:tcPr>
            <w:tcW w:type="dxa" w:w="54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Send 3 entry points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EIP Workflow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The workflow simultaneously: (①) shows a deep link on the confirmation screen, (②) sends an email with the same deep link, and (③) assigns an Experience task and notification. All three point to the same payment page URL with ?reg= and ?permit= params.</w:t>
            </w:r>
          </w:p>
        </w:tc>
      </w:tr>
      <w:tr>
        <w:tc>
          <w:tcPr>
            <w:tcW w:type="dxa" w:w="54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Open the payment page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Student clicks a link (from screen, email, or Experience task). The Experience payment page opens with the Registration ID and permit type already filled in.</w:t>
            </w:r>
          </w:p>
        </w:tc>
      </w:tr>
      <w:tr>
        <w:tc>
          <w:tcPr>
            <w:tcW w:type="dxa" w:w="54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Mint the payment token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Experience Page → Data Connect → Authorize.net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Clicking "Pay with card" calls the GetPaymentToken serverless API. The API looks up the fee server-side, sets invoiceNumber = registrationId, and calls Authorize.net getHostedPaymentPageRequest. A.net returns a one-time token valid for 15 minutes, along with the hosted form URL and confirmed fee amount.</w:t>
            </w:r>
          </w:p>
        </w:tc>
      </w:tr>
      <w:tr>
        <w:tc>
          <w:tcPr>
            <w:tcW w:type="dxa" w:w="54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Open the hosted payment page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Experience Page → Authorize.net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The page POSTs the token to Authorize.net's hosted URL in a new browser tab. The student enters their card details directly on Authorize.net's form — card data never touches MU systems (PCI SAQ-A). A.net shows a receipt page in the tab.</w:t>
            </w:r>
          </w:p>
        </w:tc>
      </w:tr>
      <w:tr>
        <w:tc>
          <w:tcPr>
            <w:tcW w:type="dxa" w:w="54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Poll for payment confirmation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Experience Page ↔ Data Connect ↔ Authorize.net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While the student is in the payment tab, the Experience page calls the VerifyPayment serverless API every 5 seconds for up to ~2 minutes. The API re-checks Authorize.net (getUnsettledTransactionListRequest by invoiceNumber), validates that responseCode=1, status is capturedPendingSettlement or settledSuccessfully, and invoiceNumber matches the registrationId. The browser cannot short-circuit this check. A "Verify payment" button lets the student trigger a manual check if the poll expires.</w:t>
            </w:r>
          </w:p>
        </w:tc>
      </w:tr>
      <w:tr>
        <w:tc>
          <w:tcPr>
            <w:tcW w:type="dxa" w:w="54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Show payment confirmation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Experience Page → Student + EIP Workflow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Once VerifyPayment returns paid:true, the page shows the confirmation view with the transaction ID and amount. Simultaneously, the page calls the EIP workflow to complete the external task, passing transId, invoiceNumber, and amount.</w:t>
            </w:r>
          </w:p>
        </w:tc>
      </w:tr>
      <w:tr>
        <w:tc>
          <w:tcPr>
            <w:tcW w:type="dxa" w:w="54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Downstream notifications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EIP Workflow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The workflow notifies Student Financial Services with the invoice number and amount paid. It then assigns a "Issue / record permit" task to Public Safety.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