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 Parking Permit Payment</w:t>
      </w:r>
    </w:p>
    <w:p>
      <w:pPr>
        <w:pStyle w:val="Heading2"/>
        <w:jc w:val="center"/>
      </w:pPr>
      <w:r>
        <w:t>Step-by-Step Implementation Guide</w:t>
      </w:r>
    </w:p>
    <w:p>
      <w:pPr>
        <w:jc w:val="center"/>
      </w:pPr>
      <w:r>
        <w:rPr>
          <w:i/>
        </w:rPr>
        <w:t>Methodist University  |  June 10, 2026</w:t>
      </w:r>
    </w:p>
    <w:p/>
    <w:p>
      <w:pPr>
        <w:shd w:val="clear" w:color="auto" w:fill="DEEAF1"/>
      </w:pPr>
      <w:r>
        <w:rPr>
          <w:b/>
          <w:color w:val="1F4E79"/>
        </w:rPr>
        <w:t xml:space="preserve">NOTE  </w:t>
      </w:r>
      <w:r>
        <w:t>Complete steps 1–5 in order. Each section ends with a verification checkpoint before moving on. Estimated total time: 3–4 hours for a first-time setup.</w:t>
      </w:r>
    </w:p>
    <w:p/>
    <w:p>
      <w:pPr>
        <w:pStyle w:val="Heading1"/>
      </w:pPr>
      <w:r>
        <w:t>Prerequisites</w:t>
      </w:r>
    </w:p>
    <w:p>
      <w:r>
        <w:t>Before you begin, confirm you have access to and credentials for each system.</w:t>
      </w:r>
    </w:p>
    <w:tbl>
      <w:tblPr>
        <w:tblStyle w:val="TableGrid"/>
        <w:tblW w:type="auto" w:w="0"/>
        <w:tblLook w:firstColumn="1" w:firstRow="1" w:lastColumn="0" w:lastRow="0" w:noHBand="0" w:noVBand="1" w:val="04A0"/>
      </w:tblPr>
      <w:tblGrid>
        <w:gridCol w:w="2880"/>
        <w:gridCol w:w="6624"/>
      </w:tblGrid>
      <w:tr>
        <w:tc>
          <w:tcPr>
            <w:tcW w:type="dxa" w:w="4320"/>
            <w:shd w:val="clear" w:color="auto" w:fill="D9E1F2"/>
          </w:tcPr>
          <w:p>
            <w:r>
              <w:rPr>
                <w:b/>
              </w:rPr>
              <w:t>System</w:t>
            </w:r>
          </w:p>
        </w:tc>
        <w:tc>
          <w:tcPr>
            <w:tcW w:type="dxa" w:w="4320"/>
            <w:shd w:val="clear" w:color="auto" w:fill="D9E1F2"/>
          </w:tcPr>
          <w:p>
            <w:r>
              <w:rPr>
                <w:b/>
              </w:rPr>
              <w:t>Access needed</w:t>
            </w:r>
          </w:p>
        </w:tc>
      </w:tr>
      <w:tr>
        <w:tc>
          <w:tcPr>
            <w:tcW w:type="dxa" w:w="4320"/>
          </w:tcPr>
          <w:p>
            <w:r>
              <w:rPr>
                <w:rFonts w:ascii="Courier New" w:hAnsi="Courier New"/>
                <w:sz w:val="18"/>
              </w:rPr>
              <w:t>Authorize.net</w:t>
            </w:r>
          </w:p>
        </w:tc>
        <w:tc>
          <w:tcPr>
            <w:tcW w:type="dxa" w:w="4320"/>
          </w:tcPr>
          <w:p>
            <w:r>
              <w:t>Sandbox account for testing; production account for go-live. Have your Login ID and Transaction Key ready.</w:t>
            </w:r>
          </w:p>
        </w:tc>
      </w:tr>
      <w:tr>
        <w:tc>
          <w:tcPr>
            <w:tcW w:type="dxa" w:w="4320"/>
          </w:tcPr>
          <w:p>
            <w:r>
              <w:rPr>
                <w:rFonts w:ascii="Courier New" w:hAnsi="Courier New"/>
                <w:sz w:val="18"/>
              </w:rPr>
              <w:t>Ellucian Data Connect</w:t>
            </w:r>
          </w:p>
        </w:tc>
        <w:tc>
          <w:tcPr>
            <w:tcW w:type="dxa" w:w="4320"/>
          </w:tcPr>
          <w:p>
            <w:r>
              <w:t>Permission to create and publish serverless pipelines.</w:t>
            </w:r>
          </w:p>
        </w:tc>
      </w:tr>
      <w:tr>
        <w:tc>
          <w:tcPr>
            <w:tcW w:type="dxa" w:w="4320"/>
          </w:tcPr>
          <w:p>
            <w:r>
              <w:rPr>
                <w:rFonts w:ascii="Courier New" w:hAnsi="Courier New"/>
                <w:sz w:val="18"/>
              </w:rPr>
              <w:t>Ellucian Experience</w:t>
            </w:r>
          </w:p>
        </w:tc>
        <w:tc>
          <w:tcPr>
            <w:tcW w:type="dxa" w:w="4320"/>
          </w:tcPr>
          <w:p>
            <w:r>
              <w:t>Extension developer access; permission to upload and manage extensions.</w:t>
            </w:r>
          </w:p>
        </w:tc>
      </w:tr>
      <w:tr>
        <w:tc>
          <w:tcPr>
            <w:tcW w:type="dxa" w:w="4320"/>
          </w:tcPr>
          <w:p>
            <w:r>
              <w:rPr>
                <w:rFonts w:ascii="Courier New" w:hAnsi="Courier New"/>
                <w:sz w:val="18"/>
              </w:rPr>
              <w:t>EIP / Intelligent Processes</w:t>
            </w:r>
          </w:p>
        </w:tc>
        <w:tc>
          <w:tcPr>
            <w:tcW w:type="dxa" w:w="4320"/>
          </w:tcPr>
          <w:p>
            <w:r>
              <w:t>Workflow designer access for the vehicle registration workflow.</w:t>
            </w:r>
          </w:p>
        </w:tc>
      </w:tr>
      <w:tr>
        <w:tc>
          <w:tcPr>
            <w:tcW w:type="dxa" w:w="4320"/>
          </w:tcPr>
          <w:p>
            <w:r>
              <w:rPr>
                <w:rFonts w:ascii="Courier New" w:hAnsi="Courier New"/>
                <w:sz w:val="18"/>
              </w:rPr>
              <w:t>Node.js 18+</w:t>
            </w:r>
          </w:p>
        </w:tc>
        <w:tc>
          <w:tcPr>
            <w:tcW w:type="dxa" w:w="4320"/>
          </w:tcPr>
          <w:p>
            <w:r>
              <w:t>Installed locally — needed only to build the Experience extension (webpack).</w:t>
            </w:r>
          </w:p>
        </w:tc>
      </w:tr>
      <w:tr>
        <w:tc>
          <w:tcPr>
            <w:tcW w:type="dxa" w:w="4320"/>
          </w:tcPr>
          <w:p>
            <w:r>
              <w:rPr>
                <w:rFonts w:ascii="Courier New" w:hAnsi="Courier New"/>
                <w:sz w:val="18"/>
              </w:rPr>
              <w:t>Ellucian Experience Extension SDK</w:t>
            </w:r>
          </w:p>
        </w:tc>
        <w:tc>
          <w:tcPr>
            <w:tcW w:type="dxa" w:w="4320"/>
          </w:tcPr>
          <w:p>
            <w:r>
              <w:t>Install via npm (details in Section 3). Match the SDK version used by your tenant.</w:t>
            </w:r>
          </w:p>
        </w:tc>
      </w:tr>
    </w:tbl>
    <w:p/>
    <w:p>
      <w:pPr>
        <w:pStyle w:val="Heading1"/>
      </w:pPr>
      <w:r>
        <w:t>Section 1 — Set Up Authorize.net</w:t>
      </w:r>
    </w:p>
    <w:p>
      <w:r>
        <w:t>All Authorize.net credentials stay server-side (in Data Connect). You will never paste them into the Experience card or any front-end file.</w:t>
      </w:r>
    </w:p>
    <w:p>
      <w:pPr>
        <w:pStyle w:val="Heading2"/>
      </w:pPr>
      <w:r>
        <w:t>1.1  Create a sandbox account (skip if you already have one)</w:t>
      </w:r>
    </w:p>
    <w:p>
      <w:pPr>
        <w:pStyle w:val="ListNumber"/>
      </w:pPr>
      <w:r>
        <w:t>Go to developer.authorize.net and sign up for a free sandbox account.</w:t>
      </w:r>
    </w:p>
    <w:p>
      <w:pPr>
        <w:pStyle w:val="ListNumber"/>
      </w:pPr>
      <w:r>
        <w:t>After login, navigate to Account &gt; API Credentials &amp; Keys.</w:t>
      </w:r>
    </w:p>
    <w:p>
      <w:pPr>
        <w:pStyle w:val="ListNumber"/>
      </w:pPr>
      <w:r>
        <w:t>Copy the Login ID and generate a new Transaction Key. Store both somewhere secure — you will paste them into Data Connect in Section 2.</w:t>
      </w:r>
    </w:p>
    <w:p>
      <w:pPr>
        <w:pStyle w:val="Heading2"/>
      </w:pPr>
      <w:r>
        <w:t>1.2  (Optional) Register a webhook for late-confirmation backstop</w:t>
      </w:r>
    </w:p>
    <w:p>
      <w:r>
        <w:t>The Experience page polls Authorize.net for ~2 minutes after the student pays, which covers the normal case. A webhook provides an additional backstop if the student closes the browser before the poll succeeds. This is optional for go-live but recommended for production.</w:t>
      </w:r>
    </w:p>
    <w:p>
      <w:pPr>
        <w:pStyle w:val="ListNumber"/>
      </w:pPr>
      <w:r>
        <w:t>In the Authorize.net sandbox merchant interface, go to Account &gt; Webhooks.</w:t>
      </w:r>
    </w:p>
    <w:p>
      <w:pPr>
        <w:pStyle w:val="ListNumber"/>
      </w:pPr>
      <w:r>
        <w:t>Add a new endpoint URL (requires a publicly reachable HTTPS address).</w:t>
      </w:r>
    </w:p>
    <w:p>
      <w:pPr>
        <w:pStyle w:val="ListNumber"/>
      </w:pPr>
      <w:r>
        <w:t>Subscribe to the event: net.authorize.payment.authcapture.created.</w:t>
      </w:r>
    </w:p>
    <w:p>
      <w:pPr>
        <w:pStyle w:val="ListNumber"/>
      </w:pPr>
      <w:r>
        <w:t>Copy the Signature Key shown after saving — you will need it to verify webhook payloads.</w:t>
      </w:r>
    </w:p>
    <w:p>
      <w:pPr>
        <w:shd w:val="clear" w:color="auto" w:fill="DEEAF1"/>
      </w:pPr>
      <w:r>
        <w:rPr>
          <w:b/>
          <w:color w:val="1F4E79"/>
        </w:rPr>
        <w:t xml:space="preserve">NOTE  </w:t>
      </w:r>
      <w:r>
        <w:t>Webhook handling is configured in the EIP workflow (Section 4), not in the Experience extension. Skip this step until the rest of the system is working.</w:t>
      </w:r>
    </w:p>
    <w:p/>
    <w:p>
      <w:pPr>
        <w:pStyle w:val="Heading1"/>
      </w:pPr>
      <w:r>
        <w:t>Section 2 — Publish the Data Connect Serverless Pipelines</w:t>
      </w:r>
    </w:p>
    <w:p>
      <w:r>
        <w:t>The two JSON files in the repo root are complete serverless pipeline definitions. You import them into Data Connect, add your Authorize.net credentials as sensitive parameters, and publish them.</w:t>
      </w:r>
    </w:p>
    <w:p>
      <w:pPr>
        <w:pStyle w:val="Heading2"/>
      </w:pPr>
      <w:r>
        <w:t>2.1  Import the pipelines</w:t>
      </w:r>
    </w:p>
    <w:p>
      <w:pPr>
        <w:pStyle w:val="ListNumber"/>
      </w:pPr>
      <w:r>
        <w:t>In the Ellucian Hub, navigate to Data Connect &gt; Serverless API.</w:t>
      </w:r>
    </w:p>
    <w:p>
      <w:pPr>
        <w:pStyle w:val="ListNumber"/>
      </w:pPr>
      <w:r>
        <w:t>Click New or Import.</w:t>
      </w:r>
    </w:p>
    <w:p>
      <w:pPr>
        <w:pStyle w:val="ListNumber"/>
      </w:pPr>
      <w:r>
        <w:rPr>
          <w:b/>
        </w:rPr>
        <w:t xml:space="preserve">Import  </w:t>
      </w:r>
      <w:r>
        <w:t>MU_ParkingPermit_GetPaymentToken_v1_0_0.serverless.json</w:t>
      </w:r>
    </w:p>
    <w:p>
      <w:pPr>
        <w:pStyle w:val="ListNumber"/>
      </w:pPr>
      <w:r>
        <w:rPr>
          <w:b/>
        </w:rPr>
        <w:t xml:space="preserve">Import  </w:t>
      </w:r>
      <w:r>
        <w:t>MU_ParkingPermit_VerifyPayment_v1_0_0.serverless.json</w:t>
      </w:r>
    </w:p>
    <w:p>
      <w:pPr>
        <w:pStyle w:val="ListNumber"/>
      </w:pPr>
      <w:r>
        <w:t>Confirm both pipelines appear in the list.</w:t>
      </w:r>
    </w:p>
    <w:p>
      <w:pPr>
        <w:pStyle w:val="Heading2"/>
      </w:pPr>
      <w:r>
        <w:t>2.2  Add Authorize.net credentials as sensitive parameters</w:t>
      </w:r>
    </w:p>
    <w:p>
      <w:pPr>
        <w:shd w:val="clear" w:color="auto" w:fill="FCE4D6"/>
      </w:pPr>
      <w:r>
        <w:rPr>
          <w:b/>
          <w:color w:val="84310A"/>
        </w:rPr>
        <w:t xml:space="preserve">IMPORTANT  </w:t>
      </w:r>
      <w:r>
        <w:t>Never paste credentials into a pipeline segment directly — use persistent sensitive parameters so they are encrypted at rest and never exposed in logs.</w:t>
      </w:r>
    </w:p>
    <w:p/>
    <w:p>
      <w:pPr>
        <w:pStyle w:val="ListNumber"/>
      </w:pPr>
      <w:r>
        <w:t>Open the GetPaymentToken pipeline in the designer.</w:t>
      </w:r>
    </w:p>
    <w:p>
      <w:pPr>
        <w:pStyle w:val="ListNumber"/>
      </w:pPr>
      <w:r>
        <w:t>Go to Pipeline Parameters &gt; Persistent Parameters.</w:t>
      </w:r>
    </w:p>
    <w:p>
      <w:pPr>
        <w:pStyle w:val="ListNumber"/>
      </w:pPr>
      <w:r>
        <w:t>Add two sensitive parameters:</w:t>
      </w:r>
    </w:p>
    <w:tbl>
      <w:tblPr>
        <w:tblStyle w:val="TableGrid"/>
        <w:tblW w:type="auto" w:w="0"/>
        <w:tblLook w:firstColumn="1" w:firstRow="1" w:lastColumn="0" w:lastRow="0" w:noHBand="0" w:noVBand="1" w:val="04A0"/>
      </w:tblPr>
      <w:tblGrid>
        <w:gridCol w:w="2880"/>
        <w:gridCol w:w="6624"/>
      </w:tblGrid>
      <w:tr>
        <w:tc>
          <w:tcPr>
            <w:tcW w:type="dxa" w:w="4320"/>
            <w:shd w:val="clear" w:color="auto" w:fill="D9E1F2"/>
          </w:tcPr>
          <w:p>
            <w:r>
              <w:rPr>
                <w:b/>
              </w:rPr>
              <w:t>Parameter name</w:t>
            </w:r>
          </w:p>
        </w:tc>
        <w:tc>
          <w:tcPr>
            <w:tcW w:type="dxa" w:w="4320"/>
            <w:shd w:val="clear" w:color="auto" w:fill="D9E1F2"/>
          </w:tcPr>
          <w:p>
            <w:r>
              <w:rPr>
                <w:b/>
              </w:rPr>
              <w:t>Value</w:t>
            </w:r>
          </w:p>
        </w:tc>
      </w:tr>
      <w:tr>
        <w:tc>
          <w:tcPr>
            <w:tcW w:type="dxa" w:w="4320"/>
          </w:tcPr>
          <w:p>
            <w:r>
              <w:rPr>
                <w:rFonts w:ascii="Courier New" w:hAnsi="Courier New"/>
                <w:sz w:val="18"/>
              </w:rPr>
              <w:t>anetLoginId</w:t>
            </w:r>
          </w:p>
        </w:tc>
        <w:tc>
          <w:tcPr>
            <w:tcW w:type="dxa" w:w="4320"/>
          </w:tcPr>
          <w:p>
            <w:r>
              <w:t>Your Authorize.net Login ID</w:t>
            </w:r>
          </w:p>
        </w:tc>
      </w:tr>
      <w:tr>
        <w:tc>
          <w:tcPr>
            <w:tcW w:type="dxa" w:w="4320"/>
          </w:tcPr>
          <w:p>
            <w:r>
              <w:rPr>
                <w:rFonts w:ascii="Courier New" w:hAnsi="Courier New"/>
                <w:sz w:val="18"/>
              </w:rPr>
              <w:t>anetTransKey</w:t>
            </w:r>
          </w:p>
        </w:tc>
        <w:tc>
          <w:tcPr>
            <w:tcW w:type="dxa" w:w="4320"/>
          </w:tcPr>
          <w:p>
            <w:r>
              <w:t>Your Authorize.net Transaction Key</w:t>
            </w:r>
          </w:p>
        </w:tc>
      </w:tr>
    </w:tbl>
    <w:p/>
    <w:p>
      <w:pPr>
        <w:pStyle w:val="ListNumber"/>
      </w:pPr>
      <w:r>
        <w:t>Repeat for the VerifyPayment pipeline — it needs the same two parameters.</w:t>
      </w:r>
    </w:p>
    <w:p>
      <w:pPr>
        <w:pStyle w:val="ListNumber"/>
      </w:pPr>
      <w:r>
        <w:t>(Both pipelines reference these parameter names in their pipeline logic; the names must match exactly.)</w:t>
      </w:r>
    </w:p>
    <w:p>
      <w:pPr>
        <w:pStyle w:val="Heading2"/>
      </w:pPr>
      <w:r>
        <w:t>2.3  Set the fee schedule (GetPaymentToken only)</w:t>
      </w:r>
    </w:p>
    <w:p>
      <w:r>
        <w:t>The token pipeline contains a placeholder fee schedule. Replace it with real amounts before go-live.</w:t>
      </w:r>
    </w:p>
    <w:p>
      <w:pPr>
        <w:pStyle w:val="ListNumber"/>
      </w:pPr>
      <w:r>
        <w:t>Open the GetPaymentToken pipeline.</w:t>
      </w:r>
    </w:p>
    <w:p>
      <w:pPr>
        <w:pStyle w:val="ListNumber"/>
      </w:pPr>
      <w:r>
        <w:t>Find the segment named  Build Token Request.</w:t>
      </w:r>
    </w:p>
    <w:p>
      <w:pPr>
        <w:pStyle w:val="ListNumber"/>
      </w:pPr>
      <w:r>
        <w:t>Locate the fee schedule object (keys: full-year, fall, spring, summer, motorcycle).</w:t>
      </w:r>
    </w:p>
    <w:p>
      <w:pPr>
        <w:pStyle w:val="ListNumber"/>
      </w:pPr>
      <w:r>
        <w:t>Replace the placeholder dollar amounts with the fees approved by Finance.</w:t>
      </w:r>
    </w:p>
    <w:p>
      <w:pPr>
        <w:pStyle w:val="ListNumber"/>
      </w:pPr>
      <w:r>
        <w:t>Save the segment.</w:t>
      </w:r>
    </w:p>
    <w:p>
      <w:pPr>
        <w:shd w:val="clear" w:color="auto" w:fill="DEEAF1"/>
      </w:pPr>
      <w:r>
        <w:rPr>
          <w:b/>
          <w:color w:val="1F4E79"/>
        </w:rPr>
        <w:t xml:space="preserve">NOTE  </w:t>
      </w:r>
      <w:r>
        <w:t>The fee is resolved entirely server-side. Students never see the fee schedule code and cannot manipulate the amount.</w:t>
      </w:r>
    </w:p>
    <w:p>
      <w:pPr>
        <w:pStyle w:val="Heading2"/>
      </w:pPr>
      <w:r>
        <w:t>2.4  Set the Authorize.net environment</w:t>
      </w:r>
    </w:p>
    <w:p>
      <w:r>
        <w:t>The pipeline sends requests to either the sandbox or production A.net API endpoint. Confirm the correct URL is set in both pipelines.</w:t>
      </w:r>
    </w:p>
    <w:tbl>
      <w:tblPr>
        <w:tblStyle w:val="TableGrid"/>
        <w:tblW w:type="auto" w:w="0"/>
        <w:tblLook w:firstColumn="1" w:firstRow="1" w:lastColumn="0" w:lastRow="0" w:noHBand="0" w:noVBand="1" w:val="04A0"/>
      </w:tblPr>
      <w:tblGrid>
        <w:gridCol w:w="2160"/>
        <w:gridCol w:w="7344"/>
      </w:tblGrid>
      <w:tr>
        <w:tc>
          <w:tcPr>
            <w:tcW w:type="dxa" w:w="4320"/>
            <w:shd w:val="clear" w:color="auto" w:fill="D9E1F2"/>
          </w:tcPr>
          <w:p>
            <w:r>
              <w:rPr>
                <w:b/>
              </w:rPr>
              <w:t>Environment</w:t>
            </w:r>
          </w:p>
        </w:tc>
        <w:tc>
          <w:tcPr>
            <w:tcW w:type="dxa" w:w="4320"/>
            <w:shd w:val="clear" w:color="auto" w:fill="D9E1F2"/>
          </w:tcPr>
          <w:p>
            <w:r>
              <w:rPr>
                <w:b/>
              </w:rPr>
              <w:t>API base URL</w:t>
            </w:r>
          </w:p>
        </w:tc>
      </w:tr>
      <w:tr>
        <w:tc>
          <w:tcPr>
            <w:tcW w:type="dxa" w:w="4320"/>
          </w:tcPr>
          <w:p>
            <w:r>
              <w:rPr>
                <w:rFonts w:ascii="Courier New" w:hAnsi="Courier New"/>
                <w:sz w:val="18"/>
              </w:rPr>
              <w:t>Sandbox</w:t>
            </w:r>
          </w:p>
        </w:tc>
        <w:tc>
          <w:tcPr>
            <w:tcW w:type="dxa" w:w="4320"/>
          </w:tcPr>
          <w:p>
            <w:r>
              <w:t>https://apitest.authorize.net/xml/v1/request.api</w:t>
            </w:r>
          </w:p>
        </w:tc>
      </w:tr>
      <w:tr>
        <w:tc>
          <w:tcPr>
            <w:tcW w:type="dxa" w:w="4320"/>
          </w:tcPr>
          <w:p>
            <w:r>
              <w:rPr>
                <w:rFonts w:ascii="Courier New" w:hAnsi="Courier New"/>
                <w:sz w:val="18"/>
              </w:rPr>
              <w:t>Production</w:t>
            </w:r>
          </w:p>
        </w:tc>
        <w:tc>
          <w:tcPr>
            <w:tcW w:type="dxa" w:w="4320"/>
          </w:tcPr>
          <w:p>
            <w:r>
              <w:t>https://api.authorize.net/xml/v1/request.api</w:t>
            </w:r>
          </w:p>
        </w:tc>
      </w:tr>
    </w:tbl>
    <w:p/>
    <w:p>
      <w:pPr>
        <w:shd w:val="clear" w:color="auto" w:fill="DEEAF1"/>
      </w:pPr>
      <w:r>
        <w:rPr>
          <w:b/>
          <w:color w:val="1F4E79"/>
        </w:rPr>
        <w:t xml:space="preserve">NOTE  </w:t>
      </w:r>
      <w:r>
        <w:t>Use the sandbox URL during all testing in Sections 2–5. Switch to production in Section 6.</w:t>
      </w:r>
    </w:p>
    <w:p>
      <w:pPr>
        <w:pStyle w:val="Heading2"/>
      </w:pPr>
      <w:r>
        <w:t>2.5  Publish both pipelines</w:t>
      </w:r>
    </w:p>
    <w:p>
      <w:pPr>
        <w:pStyle w:val="ListNumber"/>
      </w:pPr>
      <w:r>
        <w:t>Click Publish on the GetPaymentToken pipeline.</w:t>
      </w:r>
    </w:p>
    <w:p>
      <w:pPr>
        <w:pStyle w:val="ListNumber"/>
      </w:pPr>
      <w:r>
        <w:t>Click Publish on the VerifyPayment pipeline.</w:t>
      </w:r>
    </w:p>
    <w:p>
      <w:pPr>
        <w:pStyle w:val="ListNumber"/>
      </w:pPr>
      <w:r>
        <w:t>After publishing, each pipeline shows a generated API name in the format  mu-parkingpermit-getpaymenttoken  (lower-cased, hyphenated). Note both names — you will enter them as card configuration values in Section 3.</w:t>
      </w:r>
    </w:p>
    <w:p>
      <w:pPr>
        <w:pStyle w:val="Heading2"/>
      </w:pPr>
      <w:r>
        <w:t>2.6  Grant permissions in Experience</w:t>
      </w:r>
    </w:p>
    <w:p>
      <w:r>
        <w:t>User-token pipelines push their permission requirements to Experience automatically, but you still need to grant Execute access to the correct role.</w:t>
      </w:r>
    </w:p>
    <w:p>
      <w:pPr>
        <w:pStyle w:val="ListNumber"/>
      </w:pPr>
      <w:r>
        <w:t>In Experience Setup, go to Permissions.</w:t>
      </w:r>
    </w:p>
    <w:p>
      <w:pPr>
        <w:pStyle w:val="ListNumber"/>
      </w:pPr>
      <w:r>
        <w:t>Find each pipeline by its API name.</w:t>
      </w:r>
    </w:p>
    <w:p>
      <w:pPr>
        <w:pStyle w:val="ListNumber"/>
      </w:pPr>
      <w:r>
        <w:t>Grant the student role Execute permission on both pipelines.</w:t>
      </w:r>
    </w:p>
    <w:p/>
    <w:p>
      <w:pPr>
        <w:pStyle w:val="Heading1"/>
      </w:pPr>
      <w:r>
        <w:t>Section 3 — Build and Upload the Experience Extension</w:t>
      </w:r>
    </w:p>
    <w:p>
      <w:r>
        <w:t>The extension/ folder in the repo contains only the custom files. You need to merge them into an Ellucian-generated base project before building.</w:t>
      </w:r>
    </w:p>
    <w:p>
      <w:pPr>
        <w:pStyle w:val="Heading2"/>
      </w:pPr>
      <w:r>
        <w:t>3.1  Generate the base project</w:t>
      </w:r>
    </w:p>
    <w:p>
      <w:pPr>
        <w:pStyle w:val="ListNumber"/>
      </w:pPr>
      <w:r>
        <w:t>Check which Experience Extension SDK version your tenant is running (visible in Experience Setup &gt; About).</w:t>
      </w:r>
    </w:p>
    <w:p>
      <w:pPr>
        <w:pStyle w:val="ListNumber"/>
      </w:pPr>
      <w:r>
        <w:t>Run the Ellucian extension generator for that SDK version:</w:t>
      </w:r>
    </w:p>
    <w:p>
      <w:pPr>
        <w:shd w:val="clear" w:color="auto" w:fill="F2F2F2"/>
      </w:pPr>
      <w:r>
        <w:rPr>
          <w:rFonts w:ascii="Courier New" w:hAnsi="Courier New"/>
          <w:sz w:val="18"/>
        </w:rPr>
        <w:t>npx @ellucian/experience-extension@&lt;version&gt; new mu-parking-permit-payment</w:t>
      </w:r>
    </w:p>
    <w:p>
      <w:pPr>
        <w:pStyle w:val="ListNumber"/>
      </w:pPr>
      <w:r>
        <w:t>When prompted, choose React and accept the defaults.</w:t>
      </w:r>
    </w:p>
    <w:p>
      <w:pPr>
        <w:pStyle w:val="ListNumber"/>
      </w:pPr>
      <w:r>
        <w:t>This generates the webpack config, .env handling, upload scripts, and project scaffolding.</w:t>
      </w:r>
    </w:p>
    <w:p>
      <w:pPr>
        <w:pStyle w:val="Heading2"/>
      </w:pPr>
      <w:r>
        <w:t>3.2  Merge the repo files into the base project</w:t>
      </w:r>
    </w:p>
    <w:p>
      <w:r>
        <w:t>Copy these files from the repo into the generated project, replacing any existing files:</w:t>
      </w:r>
    </w:p>
    <w:tbl>
      <w:tblPr>
        <w:tblStyle w:val="TableGrid"/>
        <w:tblW w:type="auto" w:w="0"/>
        <w:tblLook w:firstColumn="1" w:firstRow="1" w:lastColumn="0" w:lastRow="0" w:noHBand="0" w:noVBand="1" w:val="04A0"/>
      </w:tblPr>
      <w:tblGrid>
        <w:gridCol w:w="4608"/>
        <w:gridCol w:w="4896"/>
      </w:tblGrid>
      <w:tr>
        <w:tc>
          <w:tcPr>
            <w:tcW w:type="dxa" w:w="4320"/>
            <w:shd w:val="clear" w:color="auto" w:fill="D9E1F2"/>
          </w:tcPr>
          <w:p>
            <w:r>
              <w:rPr>
                <w:b/>
              </w:rPr>
              <w:t>Repo path</w:t>
            </w:r>
          </w:p>
        </w:tc>
        <w:tc>
          <w:tcPr>
            <w:tcW w:type="dxa" w:w="4320"/>
            <w:shd w:val="clear" w:color="auto" w:fill="D9E1F2"/>
          </w:tcPr>
          <w:p>
            <w:r>
              <w:rPr>
                <w:b/>
              </w:rPr>
              <w:t>Copy to (inside generated project)</w:t>
            </w:r>
          </w:p>
        </w:tc>
      </w:tr>
      <w:tr>
        <w:tc>
          <w:tcPr>
            <w:tcW w:type="dxa" w:w="4320"/>
          </w:tcPr>
          <w:p>
            <w:r>
              <w:rPr>
                <w:rFonts w:ascii="Courier New" w:hAnsi="Courier New"/>
                <w:sz w:val="18"/>
              </w:rPr>
              <w:t>extension/extension.js</w:t>
            </w:r>
          </w:p>
        </w:tc>
        <w:tc>
          <w:tcPr>
            <w:tcW w:type="dxa" w:w="4320"/>
          </w:tcPr>
          <w:p>
            <w:r>
              <w:t>extension.js</w:t>
            </w:r>
          </w:p>
        </w:tc>
      </w:tr>
      <w:tr>
        <w:tc>
          <w:tcPr>
            <w:tcW w:type="dxa" w:w="4320"/>
          </w:tcPr>
          <w:p>
            <w:r>
              <w:rPr>
                <w:rFonts w:ascii="Courier New" w:hAnsi="Courier New"/>
                <w:sz w:val="18"/>
              </w:rPr>
              <w:t>extension/package.json</w:t>
            </w:r>
          </w:p>
        </w:tc>
        <w:tc>
          <w:tcPr>
            <w:tcW w:type="dxa" w:w="4320"/>
          </w:tcPr>
          <w:p>
            <w:r>
              <w:t>package.json  (then run npm install)</w:t>
            </w:r>
          </w:p>
        </w:tc>
      </w:tr>
      <w:tr>
        <w:tc>
          <w:tcPr>
            <w:tcW w:type="dxa" w:w="4320"/>
          </w:tcPr>
          <w:p>
            <w:r>
              <w:rPr>
                <w:rFonts w:ascii="Courier New" w:hAnsi="Courier New"/>
                <w:sz w:val="18"/>
              </w:rPr>
              <w:t>extension/src/cards/ParkingPermitPayment.jsx</w:t>
            </w:r>
          </w:p>
        </w:tc>
        <w:tc>
          <w:tcPr>
            <w:tcW w:type="dxa" w:w="4320"/>
          </w:tcPr>
          <w:p>
            <w:r>
              <w:t>src/cards/ParkingPermitPayment.jsx</w:t>
            </w:r>
          </w:p>
        </w:tc>
      </w:tr>
      <w:tr>
        <w:tc>
          <w:tcPr>
            <w:tcW w:type="dxa" w:w="4320"/>
          </w:tcPr>
          <w:p>
            <w:r>
              <w:rPr>
                <w:rFonts w:ascii="Courier New" w:hAnsi="Courier New"/>
                <w:sz w:val="18"/>
              </w:rPr>
              <w:t>extension/src/page/ParkingPermitPaymentPage.jsx</w:t>
            </w:r>
          </w:p>
        </w:tc>
        <w:tc>
          <w:tcPr>
            <w:tcW w:type="dxa" w:w="4320"/>
          </w:tcPr>
          <w:p>
            <w:r>
              <w:t>src/page/ParkingPermitPaymentPage.jsx  (create the page/ folder)</w:t>
            </w:r>
          </w:p>
        </w:tc>
      </w:tr>
    </w:tbl>
    <w:p/>
    <w:p>
      <w:pPr>
        <w:shd w:val="clear" w:color="auto" w:fill="FCE4D6"/>
      </w:pPr>
      <w:r>
        <w:rPr>
          <w:b/>
          <w:color w:val="84310A"/>
        </w:rPr>
        <w:t xml:space="preserve">IMPORTANT  </w:t>
      </w:r>
      <w:r>
        <w:t>Pin the dependency versions in package.json to whatever the generated project ships with. The versions in the repo are placeholders.</w:t>
      </w:r>
    </w:p>
    <w:p>
      <w:pPr>
        <w:pStyle w:val="Heading2"/>
      </w:pPr>
      <w:r>
        <w:t>3.3  Configure the .env file</w:t>
      </w:r>
    </w:p>
    <w:p>
      <w:r>
        <w:t>In the generated project root, copy .env.example to .env and set:</w:t>
      </w:r>
    </w:p>
    <w:tbl>
      <w:tblPr>
        <w:tblStyle w:val="TableGrid"/>
        <w:tblW w:type="auto" w:w="0"/>
        <w:tblLook w:firstColumn="1" w:firstRow="1" w:lastColumn="0" w:lastRow="0" w:noHBand="0" w:noVBand="1" w:val="04A0"/>
      </w:tblPr>
      <w:tblGrid>
        <w:gridCol w:w="3600"/>
        <w:gridCol w:w="5904"/>
      </w:tblGrid>
      <w:tr>
        <w:tc>
          <w:tcPr>
            <w:tcW w:type="dxa" w:w="4320"/>
            <w:shd w:val="clear" w:color="auto" w:fill="D9E1F2"/>
          </w:tcPr>
          <w:p>
            <w:r>
              <w:rPr>
                <w:b/>
              </w:rPr>
              <w:t>Variable</w:t>
            </w:r>
          </w:p>
        </w:tc>
        <w:tc>
          <w:tcPr>
            <w:tcW w:type="dxa" w:w="4320"/>
            <w:shd w:val="clear" w:color="auto" w:fill="D9E1F2"/>
          </w:tcPr>
          <w:p>
            <w:r>
              <w:rPr>
                <w:b/>
              </w:rPr>
              <w:t>Value</w:t>
            </w:r>
          </w:p>
        </w:tc>
      </w:tr>
      <w:tr>
        <w:tc>
          <w:tcPr>
            <w:tcW w:type="dxa" w:w="4320"/>
          </w:tcPr>
          <w:p>
            <w:r>
              <w:rPr>
                <w:rFonts w:ascii="Courier New" w:hAnsi="Courier New"/>
                <w:sz w:val="18"/>
              </w:rPr>
              <w:t>EXPERIENCE_EXTENSION_NAME</w:t>
            </w:r>
          </w:p>
        </w:tc>
        <w:tc>
          <w:tcPr>
            <w:tcW w:type="dxa" w:w="4320"/>
          </w:tcPr>
          <w:p>
            <w:r>
              <w:t>MU Parking Permit Payment</w:t>
            </w:r>
          </w:p>
        </w:tc>
      </w:tr>
      <w:tr>
        <w:tc>
          <w:tcPr>
            <w:tcW w:type="dxa" w:w="4320"/>
          </w:tcPr>
          <w:p>
            <w:r>
              <w:rPr>
                <w:rFonts w:ascii="Courier New" w:hAnsi="Courier New"/>
                <w:sz w:val="18"/>
              </w:rPr>
              <w:t>UPLOAD_TOKEN</w:t>
            </w:r>
          </w:p>
        </w:tc>
        <w:tc>
          <w:tcPr>
            <w:tcW w:type="dxa" w:w="4320"/>
          </w:tcPr>
          <w:p>
            <w:r>
              <w:t>Your Experience upload token (from Experience Setup &gt; Developers)</w:t>
            </w:r>
          </w:p>
        </w:tc>
      </w:tr>
    </w:tbl>
    <w:p>
      <w:pPr>
        <w:pStyle w:val="Heading2"/>
      </w:pPr>
      <w:r>
        <w:t>3.4  Build and upload</w:t>
      </w:r>
    </w:p>
    <w:p>
      <w:pPr>
        <w:pStyle w:val="ListNumber"/>
      </w:pPr>
      <w:r>
        <w:t>From the generated project directory, run:</w:t>
      </w:r>
    </w:p>
    <w:p>
      <w:pPr>
        <w:shd w:val="clear" w:color="auto" w:fill="F2F2F2"/>
      </w:pPr>
      <w:r>
        <w:rPr>
          <w:rFonts w:ascii="Courier New" w:hAnsi="Courier New"/>
          <w:sz w:val="18"/>
        </w:rPr>
        <w:t>npm install</w:t>
        <w:br/>
        <w:t>npm run build</w:t>
        <w:br/>
        <w:t>npm run upload</w:t>
      </w:r>
    </w:p>
    <w:p>
      <w:pPr>
        <w:pStyle w:val="ListNumber"/>
      </w:pPr>
      <w:r>
        <w:t>Log in to Experience Setup.</w:t>
      </w:r>
    </w:p>
    <w:p>
      <w:pPr>
        <w:pStyle w:val="ListNumber"/>
      </w:pPr>
      <w:r>
        <w:t>Navigate to Extensions and confirm  MU Parking Permit Payment  appears.</w:t>
      </w:r>
    </w:p>
    <w:p>
      <w:pPr>
        <w:pStyle w:val="ListNumber"/>
      </w:pPr>
      <w:r>
        <w:t>Enable the extension.</w:t>
      </w:r>
    </w:p>
    <w:p>
      <w:pPr>
        <w:pStyle w:val="Heading2"/>
      </w:pPr>
      <w:r>
        <w:t>3.5  Configure the card</w:t>
      </w:r>
    </w:p>
    <w:p>
      <w:pPr>
        <w:pStyle w:val="ListNumber"/>
      </w:pPr>
      <w:r>
        <w:t>In Experience Setup, open the  Parking Permit Payment  card.</w:t>
      </w:r>
    </w:p>
    <w:p>
      <w:pPr>
        <w:pStyle w:val="ListNumber"/>
      </w:pPr>
      <w:r>
        <w:t>Set the two configuration values:</w:t>
      </w:r>
    </w:p>
    <w:tbl>
      <w:tblPr>
        <w:tblStyle w:val="TableGrid"/>
        <w:tblW w:type="auto" w:w="0"/>
        <w:tblLook w:firstColumn="1" w:firstRow="1" w:lastColumn="0" w:lastRow="0" w:noHBand="0" w:noVBand="1" w:val="04A0"/>
      </w:tblPr>
      <w:tblGrid>
        <w:gridCol w:w="2592"/>
        <w:gridCol w:w="6912"/>
      </w:tblGrid>
      <w:tr>
        <w:tc>
          <w:tcPr>
            <w:tcW w:type="dxa" w:w="4320"/>
            <w:shd w:val="clear" w:color="auto" w:fill="D9E1F2"/>
          </w:tcPr>
          <w:p>
            <w:r>
              <w:rPr>
                <w:b/>
              </w:rPr>
              <w:t>Field</w:t>
            </w:r>
          </w:p>
        </w:tc>
        <w:tc>
          <w:tcPr>
            <w:tcW w:type="dxa" w:w="4320"/>
            <w:shd w:val="clear" w:color="auto" w:fill="D9E1F2"/>
          </w:tcPr>
          <w:p>
            <w:r>
              <w:rPr>
                <w:b/>
              </w:rPr>
              <w:t>Value</w:t>
            </w:r>
          </w:p>
        </w:tc>
      </w:tr>
      <w:tr>
        <w:tc>
          <w:tcPr>
            <w:tcW w:type="dxa" w:w="4320"/>
          </w:tcPr>
          <w:p>
            <w:r>
              <w:rPr>
                <w:rFonts w:ascii="Courier New" w:hAnsi="Courier New"/>
                <w:sz w:val="18"/>
              </w:rPr>
              <w:t>tokenPipeline</w:t>
            </w:r>
          </w:p>
        </w:tc>
        <w:tc>
          <w:tcPr>
            <w:tcW w:type="dxa" w:w="4320"/>
          </w:tcPr>
          <w:p>
            <w:r>
              <w:t>API name from Section 2.5 — e.g.  mu-parkingpermit-getpaymenttoken</w:t>
            </w:r>
          </w:p>
        </w:tc>
      </w:tr>
      <w:tr>
        <w:tc>
          <w:tcPr>
            <w:tcW w:type="dxa" w:w="4320"/>
          </w:tcPr>
          <w:p>
            <w:r>
              <w:rPr>
                <w:rFonts w:ascii="Courier New" w:hAnsi="Courier New"/>
                <w:sz w:val="18"/>
              </w:rPr>
              <w:t>verifyPipeline</w:t>
            </w:r>
          </w:p>
        </w:tc>
        <w:tc>
          <w:tcPr>
            <w:tcW w:type="dxa" w:w="4320"/>
          </w:tcPr>
          <w:p>
            <w:r>
              <w:t>API name from Section 2.5 — e.g.  mu-parkingpermit-verifypayment</w:t>
            </w:r>
          </w:p>
        </w:tc>
      </w:tr>
    </w:tbl>
    <w:p/>
    <w:p>
      <w:pPr>
        <w:pStyle w:val="Heading2"/>
      </w:pPr>
      <w:r>
        <w:t>3.6  Find the deep-link URL for your tenant</w:t>
      </w:r>
    </w:p>
    <w:p>
      <w:r>
        <w:t>You will need this URL in Sections 4 and 5 (form confirmation message and email template).</w:t>
      </w:r>
    </w:p>
    <w:p>
      <w:pPr>
        <w:pStyle w:val="ListNumber"/>
      </w:pPr>
      <w:r>
        <w:t>In Experience Setup, open the Parking Permit Payment page.</w:t>
      </w:r>
    </w:p>
    <w:p>
      <w:pPr>
        <w:pStyle w:val="ListNumber"/>
      </w:pPr>
      <w:r>
        <w:t>The URL in your browser bar shows the tenant slug and account ID.</w:t>
      </w:r>
    </w:p>
    <w:p>
      <w:pPr>
        <w:pStyle w:val="ListNumber"/>
      </w:pPr>
      <w:r>
        <w:t>Construct the deep-link template:</w:t>
      </w:r>
    </w:p>
    <w:p>
      <w:pPr>
        <w:shd w:val="clear" w:color="auto" w:fill="F2F2F2"/>
      </w:pPr>
      <w:r>
        <w:rPr>
          <w:rFonts w:ascii="Courier New" w:hAnsi="Courier New"/>
          <w:sz w:val="18"/>
        </w:rPr>
        <w:t>https://experience.elluciancloud.com/&lt;tenant&gt;/page/&lt;account&gt;/Methodist University/MU Parking Permit Payment/ParkingPermitPaymentPage/?reg=REGID&amp;permit=PERMITTYPE</w:t>
      </w:r>
    </w:p>
    <w:p>
      <w:pPr>
        <w:pStyle w:val="ListNumber"/>
      </w:pPr>
      <w:r>
        <w:t>Replace &lt;tenant&gt; and &lt;account&gt; with the values from your browser bar.</w:t>
      </w:r>
    </w:p>
    <w:p>
      <w:pPr>
        <w:pStyle w:val="ListNumber"/>
      </w:pPr>
      <w:r>
        <w:t>Keep the REGID and PERMITTYPE placeholders — you will substitute them with workflow variable tokens in Sections 4 and 5.</w:t>
      </w:r>
    </w:p>
    <w:p/>
    <w:p>
      <w:pPr>
        <w:pStyle w:val="Heading1"/>
      </w:pPr>
      <w:r>
        <w:t>Section 4 — Configure the EIP Workflow</w:t>
      </w:r>
    </w:p>
    <w:p>
      <w:r>
        <w:t>This section is done entirely in the EIP / Intelligent Processes workflow designer — no code changes are required.</w:t>
      </w:r>
    </w:p>
    <w:p>
      <w:pPr>
        <w:pStyle w:val="Heading2"/>
      </w:pPr>
      <w:r>
        <w:t>4.1  Confirm the form trigger</w:t>
      </w:r>
    </w:p>
    <w:p>
      <w:r>
        <w:t>The vehicle registration EIP form should already trigger the workflow on submission. Verify that the workflow receives registrationId and permitType as workflow variables before proceeding.</w:t>
      </w:r>
    </w:p>
    <w:p>
      <w:pPr>
        <w:pStyle w:val="Heading2"/>
      </w:pPr>
      <w:r>
        <w:t>4.2  Entry point 1 — Form confirmation message</w:t>
      </w:r>
    </w:p>
    <w:p>
      <w:pPr>
        <w:pStyle w:val="ListNumber"/>
      </w:pPr>
      <w:r>
        <w:t>In the EIP Form designer, open the vehicle registration form.</w:t>
      </w:r>
    </w:p>
    <w:p>
      <w:pPr>
        <w:pStyle w:val="ListNumber"/>
      </w:pPr>
      <w:r>
        <w:t>Navigate to the form's Confirmation or Success message setting.</w:t>
      </w:r>
    </w:p>
    <w:p>
      <w:pPr>
        <w:pStyle w:val="ListNumber"/>
      </w:pPr>
      <w:r>
        <w:t>Add a message that includes the deep-link URL, substituting the workflow variable tokens for registrationId and permitType:</w:t>
      </w:r>
    </w:p>
    <w:p>
      <w:pPr>
        <w:shd w:val="clear" w:color="auto" w:fill="F2F2F2"/>
      </w:pPr>
      <w:r>
        <w:rPr>
          <w:rFonts w:ascii="Courier New" w:hAnsi="Courier New"/>
          <w:sz w:val="18"/>
        </w:rPr>
        <w:t>Your vehicle registration has been submitted.</w:t>
        <w:br/>
        <w:t>Pay your parking permit fee here:</w:t>
        <w:br/>
        <w:t>https://experience.elluciancloud.com/&lt;tenant&gt;/page/&lt;account&gt;/Methodist University/MU Parking Permit Payment/ParkingPermitPaymentPage/?reg={{registrationId}}&amp;permit={{permitType}}</w:t>
      </w:r>
    </w:p>
    <w:p>
      <w:pPr>
        <w:shd w:val="clear" w:color="auto" w:fill="DEEAF1"/>
      </w:pPr>
      <w:r>
        <w:rPr>
          <w:b/>
          <w:color w:val="1F4E79"/>
        </w:rPr>
        <w:t xml:space="preserve">NOTE  </w:t>
      </w:r>
      <w:r>
        <w:t>Replace {{registrationId}} and {{permitType}} with the actual token syntax used by your version of EIP (it may be ${registrationId} or a field reference — check the EIP Form documentation for your release).</w:t>
      </w:r>
    </w:p>
    <w:p>
      <w:pPr>
        <w:pStyle w:val="Heading2"/>
      </w:pPr>
      <w:r>
        <w:t>4.3  Entry point 2 — Workflow email action</w:t>
      </w:r>
    </w:p>
    <w:p>
      <w:pPr>
        <w:pStyle w:val="ListNumber"/>
      </w:pPr>
      <w:r>
        <w:t>In the workflow designer, open the vehicle registration workflow.</w:t>
      </w:r>
    </w:p>
    <w:p>
      <w:pPr>
        <w:pStyle w:val="ListNumber"/>
      </w:pPr>
      <w:r>
        <w:t>After the form-submission trigger, add a Send Email action.</w:t>
      </w:r>
    </w:p>
    <w:p>
      <w:pPr>
        <w:pStyle w:val="ListNumber"/>
      </w:pPr>
      <w:r>
        <w:t>Configure the email:</w:t>
      </w:r>
    </w:p>
    <w:tbl>
      <w:tblPr>
        <w:tblStyle w:val="TableGrid"/>
        <w:tblW w:type="auto" w:w="0"/>
        <w:tblLook w:firstColumn="1" w:firstRow="1" w:lastColumn="0" w:lastRow="0" w:noHBand="0" w:noVBand="1" w:val="04A0"/>
      </w:tblPr>
      <w:tblGrid>
        <w:gridCol w:w="1728"/>
        <w:gridCol w:w="7776"/>
      </w:tblGrid>
      <w:tr>
        <w:tc>
          <w:tcPr>
            <w:tcW w:type="dxa" w:w="4320"/>
            <w:shd w:val="clear" w:color="auto" w:fill="D9E1F2"/>
          </w:tcPr>
          <w:p>
            <w:r>
              <w:rPr>
                <w:b/>
              </w:rPr>
              <w:t>Field</w:t>
            </w:r>
          </w:p>
        </w:tc>
        <w:tc>
          <w:tcPr>
            <w:tcW w:type="dxa" w:w="4320"/>
            <w:shd w:val="clear" w:color="auto" w:fill="D9E1F2"/>
          </w:tcPr>
          <w:p>
            <w:r>
              <w:rPr>
                <w:b/>
              </w:rPr>
              <w:t>Value</w:t>
            </w:r>
          </w:p>
        </w:tc>
      </w:tr>
      <w:tr>
        <w:tc>
          <w:tcPr>
            <w:tcW w:type="dxa" w:w="4320"/>
          </w:tcPr>
          <w:p>
            <w:r>
              <w:rPr>
                <w:rFonts w:ascii="Courier New" w:hAnsi="Courier New"/>
                <w:sz w:val="18"/>
              </w:rPr>
              <w:t>To</w:t>
            </w:r>
          </w:p>
        </w:tc>
        <w:tc>
          <w:tcPr>
            <w:tcW w:type="dxa" w:w="4320"/>
          </w:tcPr>
          <w:p>
            <w:r>
              <w:t>Student email address — use the workflow variable for user email (e.g. {{user.email}})</w:t>
            </w:r>
          </w:p>
        </w:tc>
      </w:tr>
      <w:tr>
        <w:tc>
          <w:tcPr>
            <w:tcW w:type="dxa" w:w="4320"/>
          </w:tcPr>
          <w:p>
            <w:r>
              <w:rPr>
                <w:rFonts w:ascii="Courier New" w:hAnsi="Courier New"/>
                <w:sz w:val="18"/>
              </w:rPr>
              <w:t>Subject</w:t>
            </w:r>
          </w:p>
        </w:tc>
        <w:tc>
          <w:tcPr>
            <w:tcW w:type="dxa" w:w="4320"/>
          </w:tcPr>
          <w:p>
            <w:r>
              <w:t>Action required: Pay your MU parking permit fee</w:t>
            </w:r>
          </w:p>
        </w:tc>
      </w:tr>
      <w:tr>
        <w:tc>
          <w:tcPr>
            <w:tcW w:type="dxa" w:w="4320"/>
          </w:tcPr>
          <w:p>
            <w:r>
              <w:rPr>
                <w:rFonts w:ascii="Courier New" w:hAnsi="Courier New"/>
                <w:sz w:val="18"/>
              </w:rPr>
              <w:t>Body</w:t>
            </w:r>
          </w:p>
        </w:tc>
        <w:tc>
          <w:tcPr>
            <w:tcW w:type="dxa" w:w="4320"/>
          </w:tcPr>
          <w:p>
            <w:r>
              <w:t>Include a sentence and the deep-link URL with ?reg= and &amp;permit= variable tokens (same as Section 4.2)</w:t>
            </w:r>
          </w:p>
        </w:tc>
      </w:tr>
    </w:tbl>
    <w:p/>
    <w:p>
      <w:pPr>
        <w:pStyle w:val="ListNumber"/>
      </w:pPr>
      <w:r>
        <w:t>Save the email action.</w:t>
      </w:r>
    </w:p>
    <w:p>
      <w:pPr>
        <w:shd w:val="clear" w:color="auto" w:fill="DEEAF1"/>
      </w:pPr>
      <w:r>
        <w:rPr>
          <w:b/>
          <w:color w:val="1F4E79"/>
        </w:rPr>
        <w:t xml:space="preserve">NOTE  </w:t>
      </w:r>
      <w:r>
        <w:t>This is a native EIP email action — no custom code is required. The student receives the email immediately after form submission.</w:t>
      </w:r>
    </w:p>
    <w:p>
      <w:pPr>
        <w:pStyle w:val="Heading2"/>
      </w:pPr>
      <w:r>
        <w:t>4.4  Entry point 3 — Experience task assignment</w:t>
      </w:r>
    </w:p>
    <w:p>
      <w:pPr>
        <w:pStyle w:val="ListNumber"/>
      </w:pPr>
      <w:r>
        <w:t>In the workflow designer, add an Assign Task action (External Task type).</w:t>
      </w:r>
    </w:p>
    <w:p>
      <w:pPr>
        <w:pStyle w:val="ListNumber"/>
      </w:pPr>
      <w:r>
        <w:t>Assign the task to the student.</w:t>
      </w:r>
    </w:p>
    <w:p>
      <w:pPr>
        <w:pStyle w:val="ListNumber"/>
      </w:pPr>
      <w:r>
        <w:t>Set the task title to:  Pay your parking permit fee</w:t>
      </w:r>
    </w:p>
    <w:p>
      <w:pPr>
        <w:pStyle w:val="ListNumber"/>
      </w:pPr>
      <w:r>
        <w:t>Link the task to the Parking Permit Payment Experience card (select the card by name).</w:t>
      </w:r>
    </w:p>
    <w:p>
      <w:pPr>
        <w:pStyle w:val="ListNumber"/>
      </w:pPr>
      <w:r>
        <w:t>Save the action.</w:t>
      </w:r>
    </w:p>
    <w:p>
      <w:pPr>
        <w:shd w:val="clear" w:color="auto" w:fill="DEEAF1"/>
      </w:pPr>
      <w:r>
        <w:rPr>
          <w:b/>
          <w:color w:val="1F4E79"/>
        </w:rPr>
        <w:t xml:space="preserve">NOTE  </w:t>
      </w:r>
      <w:r>
        <w:t>This task appears in the student's Experience dashboard as a notification (bell icon) and as a task card. The "Pay now" button on the card opens the payment page. This entry point does not carry ?reg= params, so the student will type their Registration ID — use this as the persistent backstop.</w:t>
      </w:r>
    </w:p>
    <w:p>
      <w:pPr>
        <w:pStyle w:val="Heading2"/>
      </w:pPr>
      <w:r>
        <w:t>4.5  Wire up task completion (post-payment)</w:t>
      </w:r>
    </w:p>
    <w:p>
      <w:r>
        <w:t>After the student pays, the Experience page calls back to the workflow to complete the external task and pass the payment details. This call is configured in the workflow designer, not in code.</w:t>
      </w:r>
    </w:p>
    <w:p>
      <w:pPr>
        <w:pStyle w:val="ListNumber"/>
      </w:pPr>
      <w:r>
        <w:t>In the workflow designer, open the external task created in step 4.4.</w:t>
      </w:r>
    </w:p>
    <w:p>
      <w:pPr>
        <w:pStyle w:val="ListNumber"/>
      </w:pPr>
      <w:r>
        <w:t>In the task's completion settings, map the following output variables:</w:t>
      </w:r>
    </w:p>
    <w:tbl>
      <w:tblPr>
        <w:tblStyle w:val="TableGrid"/>
        <w:tblW w:type="auto" w:w="0"/>
        <w:tblLook w:firstColumn="1" w:firstRow="1" w:lastColumn="0" w:lastRow="0" w:noHBand="0" w:noVBand="1" w:val="04A0"/>
      </w:tblPr>
      <w:tblGrid>
        <w:gridCol w:w="2880"/>
        <w:gridCol w:w="6624"/>
      </w:tblGrid>
      <w:tr>
        <w:tc>
          <w:tcPr>
            <w:tcW w:type="dxa" w:w="4320"/>
            <w:shd w:val="clear" w:color="auto" w:fill="D9E1F2"/>
          </w:tcPr>
          <w:p>
            <w:r>
              <w:rPr>
                <w:b/>
              </w:rPr>
              <w:t>Workflow variable</w:t>
            </w:r>
          </w:p>
        </w:tc>
        <w:tc>
          <w:tcPr>
            <w:tcW w:type="dxa" w:w="4320"/>
            <w:shd w:val="clear" w:color="auto" w:fill="D9E1F2"/>
          </w:tcPr>
          <w:p>
            <w:r>
              <w:rPr>
                <w:b/>
              </w:rPr>
              <w:t>Source</w:t>
            </w:r>
          </w:p>
        </w:tc>
      </w:tr>
      <w:tr>
        <w:tc>
          <w:tcPr>
            <w:tcW w:type="dxa" w:w="4320"/>
          </w:tcPr>
          <w:p>
            <w:r>
              <w:rPr>
                <w:rFonts w:ascii="Courier New" w:hAnsi="Courier New"/>
                <w:sz w:val="18"/>
              </w:rPr>
              <w:t>transactionId</w:t>
            </w:r>
          </w:p>
        </w:tc>
        <w:tc>
          <w:tcPr>
            <w:tcW w:type="dxa" w:w="4320"/>
          </w:tcPr>
          <w:p>
            <w:r>
              <w:t>transId returned by the VerifyPayment pipeline</w:t>
            </w:r>
          </w:p>
        </w:tc>
      </w:tr>
      <w:tr>
        <w:tc>
          <w:tcPr>
            <w:tcW w:type="dxa" w:w="4320"/>
          </w:tcPr>
          <w:p>
            <w:r>
              <w:rPr>
                <w:rFonts w:ascii="Courier New" w:hAnsi="Courier New"/>
                <w:sz w:val="18"/>
              </w:rPr>
              <w:t>invoiceNumber</w:t>
            </w:r>
          </w:p>
        </w:tc>
        <w:tc>
          <w:tcPr>
            <w:tcW w:type="dxa" w:w="4320"/>
          </w:tcPr>
          <w:p>
            <w:r>
              <w:t>invoiceNumber (= registrationId) from the same response</w:t>
            </w:r>
          </w:p>
        </w:tc>
      </w:tr>
      <w:tr>
        <w:tc>
          <w:tcPr>
            <w:tcW w:type="dxa" w:w="4320"/>
          </w:tcPr>
          <w:p>
            <w:r>
              <w:rPr>
                <w:rFonts w:ascii="Courier New" w:hAnsi="Courier New"/>
                <w:sz w:val="18"/>
              </w:rPr>
              <w:t>amountPaid</w:t>
            </w:r>
          </w:p>
        </w:tc>
        <w:tc>
          <w:tcPr>
            <w:tcW w:type="dxa" w:w="4320"/>
          </w:tcPr>
          <w:p>
            <w:r>
              <w:t>amount from the same response</w:t>
            </w:r>
          </w:p>
        </w:tc>
      </w:tr>
    </w:tbl>
    <w:p/>
    <w:p>
      <w:pPr>
        <w:pStyle w:val="ListNumber"/>
      </w:pPr>
      <w:r>
        <w:t>After task completion, add a Notify action to send the invoice number and amount paid to Student Financial Services.</w:t>
      </w:r>
    </w:p>
    <w:p>
      <w:pPr>
        <w:pStyle w:val="ListNumber"/>
      </w:pPr>
      <w:r>
        <w:t>Add a second Assign Task action for Public Safety: Issue / record parking permit.</w:t>
      </w:r>
    </w:p>
    <w:p/>
    <w:p>
      <w:pPr>
        <w:pStyle w:val="Heading1"/>
      </w:pPr>
      <w:r>
        <w:t>Section 5 — End-to-End Testing (Sandbox)</w:t>
      </w:r>
    </w:p>
    <w:p>
      <w:r>
        <w:t>Test the full flow before switching to production credentials. Use Authorize.net sandbox test cards throughout.</w:t>
      </w:r>
    </w:p>
    <w:p>
      <w:pPr>
        <w:pStyle w:val="Heading2"/>
      </w:pPr>
      <w:r>
        <w:t>5.1  Sandbox test cards</w:t>
      </w:r>
    </w:p>
    <w:tbl>
      <w:tblPr>
        <w:tblStyle w:val="TableGrid"/>
        <w:tblW w:type="auto" w:w="0"/>
        <w:tblLook w:firstColumn="1" w:firstRow="1" w:lastColumn="0" w:lastRow="0" w:noHBand="0" w:noVBand="1" w:val="04A0"/>
      </w:tblPr>
      <w:tblGrid>
        <w:gridCol w:w="2160"/>
        <w:gridCol w:w="7344"/>
      </w:tblGrid>
      <w:tr>
        <w:tc>
          <w:tcPr>
            <w:tcW w:type="dxa" w:w="4320"/>
            <w:shd w:val="clear" w:color="auto" w:fill="D9E1F2"/>
          </w:tcPr>
          <w:p>
            <w:r>
              <w:rPr>
                <w:b/>
              </w:rPr>
              <w:t>Card type</w:t>
            </w:r>
          </w:p>
        </w:tc>
        <w:tc>
          <w:tcPr>
            <w:tcW w:type="dxa" w:w="4320"/>
            <w:shd w:val="clear" w:color="auto" w:fill="D9E1F2"/>
          </w:tcPr>
          <w:p>
            <w:r>
              <w:rPr>
                <w:b/>
              </w:rPr>
              <w:t>Number</w:t>
            </w:r>
          </w:p>
        </w:tc>
      </w:tr>
      <w:tr>
        <w:tc>
          <w:tcPr>
            <w:tcW w:type="dxa" w:w="4320"/>
          </w:tcPr>
          <w:p>
            <w:r>
              <w:rPr>
                <w:rFonts w:ascii="Courier New" w:hAnsi="Courier New"/>
                <w:sz w:val="18"/>
              </w:rPr>
              <w:t>Visa</w:t>
            </w:r>
          </w:p>
        </w:tc>
        <w:tc>
          <w:tcPr>
            <w:tcW w:type="dxa" w:w="4320"/>
          </w:tcPr>
          <w:p>
            <w:r>
              <w:t>4111 1111 1111 1111</w:t>
            </w:r>
          </w:p>
        </w:tc>
      </w:tr>
      <w:tr>
        <w:tc>
          <w:tcPr>
            <w:tcW w:type="dxa" w:w="4320"/>
          </w:tcPr>
          <w:p>
            <w:r>
              <w:rPr>
                <w:rFonts w:ascii="Courier New" w:hAnsi="Courier New"/>
                <w:sz w:val="18"/>
              </w:rPr>
              <w:t>Mastercard</w:t>
            </w:r>
          </w:p>
        </w:tc>
        <w:tc>
          <w:tcPr>
            <w:tcW w:type="dxa" w:w="4320"/>
          </w:tcPr>
          <w:p>
            <w:r>
              <w:t>5424 0000 0000 0015</w:t>
            </w:r>
          </w:p>
        </w:tc>
      </w:tr>
      <w:tr>
        <w:tc>
          <w:tcPr>
            <w:tcW w:type="dxa" w:w="4320"/>
          </w:tcPr>
          <w:p>
            <w:r>
              <w:rPr>
                <w:rFonts w:ascii="Courier New" w:hAnsi="Courier New"/>
                <w:sz w:val="18"/>
              </w:rPr>
              <w:t>Amex</w:t>
            </w:r>
          </w:p>
        </w:tc>
        <w:tc>
          <w:tcPr>
            <w:tcW w:type="dxa" w:w="4320"/>
          </w:tcPr>
          <w:p>
            <w:r>
              <w:t>3700 0000 0000 002</w:t>
            </w:r>
          </w:p>
        </w:tc>
      </w:tr>
      <w:tr>
        <w:tc>
          <w:tcPr>
            <w:tcW w:type="dxa" w:w="4320"/>
          </w:tcPr>
          <w:p>
            <w:r>
              <w:rPr>
                <w:rFonts w:ascii="Courier New" w:hAnsi="Courier New"/>
                <w:sz w:val="18"/>
              </w:rPr>
              <w:t>Discover</w:t>
            </w:r>
          </w:p>
        </w:tc>
        <w:tc>
          <w:tcPr>
            <w:tcW w:type="dxa" w:w="4320"/>
          </w:tcPr>
          <w:p>
            <w:r>
              <w:t>6011 0000 0000 0012</w:t>
            </w:r>
          </w:p>
        </w:tc>
      </w:tr>
    </w:tbl>
    <w:p>
      <w:r>
        <w:t>Use any future expiry date, any CVV, and any billing ZIP.</w:t>
      </w:r>
    </w:p>
    <w:p/>
    <w:p>
      <w:pPr>
        <w:pStyle w:val="Heading2"/>
      </w:pPr>
      <w:r>
        <w:t>5.2  Test each entry point</w:t>
      </w:r>
    </w:p>
    <w:p>
      <w:pPr>
        <w:pStyle w:val="ListNumber"/>
      </w:pPr>
      <w:r>
        <w:rPr>
          <w:b/>
        </w:rPr>
        <w:t xml:space="preserve">Entry point 1 — Form link:  </w:t>
      </w:r>
      <w:r>
        <w:t>Submit a test registration via the EIP form. On the confirmation screen, click the deep link. Confirm the payment page opens with the Registration ID pre-filled.</w:t>
      </w:r>
    </w:p>
    <w:p>
      <w:pPr>
        <w:pStyle w:val="ListNumber"/>
      </w:pPr>
      <w:r>
        <w:rPr>
          <w:b/>
        </w:rPr>
        <w:t xml:space="preserve">Entry point 2 — Email:  </w:t>
      </w:r>
      <w:r>
        <w:t>Check the student email inbox for the workflow email. Click the link. Confirm the payment page opens with the Registration ID pre-filled.</w:t>
      </w:r>
    </w:p>
    <w:p>
      <w:pPr>
        <w:pStyle w:val="ListNumber"/>
      </w:pPr>
      <w:r>
        <w:rPr>
          <w:b/>
        </w:rPr>
        <w:t xml:space="preserve">Entry point 3 — Experience task:  </w:t>
      </w:r>
      <w:r>
        <w:t>Log in to Experience as the student. Open the task notification. Click "Pay now". Confirm the payment page opens (Registration ID field will be empty — type it in).</w:t>
      </w:r>
    </w:p>
    <w:p>
      <w:pPr>
        <w:pStyle w:val="Heading2"/>
      </w:pPr>
      <w:r>
        <w:t>5.3  Complete a test payment</w:t>
      </w:r>
    </w:p>
    <w:p>
      <w:pPr>
        <w:pStyle w:val="ListNumber"/>
      </w:pPr>
      <w:r>
        <w:t>On the payment page, select a permit type and enter the Registration ID if not pre-filled.</w:t>
      </w:r>
    </w:p>
    <w:p>
      <w:pPr>
        <w:pStyle w:val="ListNumber"/>
      </w:pPr>
      <w:r>
        <w:t>Click Pay with card.</w:t>
      </w:r>
    </w:p>
    <w:p>
      <w:pPr>
        <w:pStyle w:val="ListNumber"/>
      </w:pPr>
      <w:r>
        <w:t>Confirm a new tab opens with the Authorize.net hosted payment form.</w:t>
      </w:r>
    </w:p>
    <w:p>
      <w:pPr>
        <w:pStyle w:val="ListNumber"/>
      </w:pPr>
      <w:r>
        <w:t>Enter a sandbox test card number, a future expiry, and any CVV.</w:t>
      </w:r>
    </w:p>
    <w:p>
      <w:pPr>
        <w:pStyle w:val="ListNumber"/>
      </w:pPr>
      <w:r>
        <w:t>Submit the payment.</w:t>
      </w:r>
    </w:p>
    <w:p>
      <w:pPr>
        <w:pStyle w:val="ListNumber"/>
      </w:pPr>
      <w:r>
        <w:t>Return to the Experience tab. Within ~10 seconds the card should flip to the "Payment received" confirmation view.</w:t>
      </w:r>
    </w:p>
    <w:p>
      <w:pPr>
        <w:pStyle w:val="ListNumber"/>
      </w:pPr>
      <w:r>
        <w:t>If the automatic confirmation does not appear within 30 seconds, click Verify payment.</w:t>
      </w:r>
    </w:p>
    <w:p>
      <w:pPr>
        <w:pStyle w:val="Heading2"/>
      </w:pPr>
      <w:r>
        <w:t>5.4  Verify the downstream workflow</w:t>
      </w:r>
    </w:p>
    <w:p>
      <w:pPr>
        <w:pStyle w:val="ListNumber"/>
      </w:pPr>
      <w:r>
        <w:t>In the EIP workflow designer, check the workflow instance for the test submission.</w:t>
      </w:r>
    </w:p>
    <w:p>
      <w:pPr>
        <w:pStyle w:val="ListNumber"/>
      </w:pPr>
      <w:r>
        <w:t>Confirm the external task is marked complete with transactionId, invoiceNumber, and amountPaid populated.</w:t>
      </w:r>
    </w:p>
    <w:p>
      <w:pPr>
        <w:pStyle w:val="ListNumber"/>
      </w:pPr>
      <w:r>
        <w:t>Confirm the Student Financial Services notification shows the correct invoice number and amount.</w:t>
      </w:r>
    </w:p>
    <w:p>
      <w:pPr>
        <w:pStyle w:val="ListNumber"/>
      </w:pPr>
      <w:r>
        <w:t>Confirm the Public Safety task has been created.</w:t>
      </w:r>
    </w:p>
    <w:p>
      <w:pPr>
        <w:pStyle w:val="Heading2"/>
      </w:pPr>
      <w:r>
        <w:t>5.5  Test edge cases</w:t>
      </w:r>
    </w:p>
    <w:p>
      <w:pPr>
        <w:pStyle w:val="ListBullet"/>
      </w:pPr>
      <w:r>
        <w:t>Close the payment tab before completing payment — confirm the Experience page does not incorrectly show "confirmed".</w:t>
      </w:r>
    </w:p>
    <w:p>
      <w:pPr>
        <w:pStyle w:val="ListBullet"/>
      </w:pPr>
      <w:r>
        <w:t>Wait for the 2-minute poll to expire — confirm the "Still waiting" message appears and the Verify payment button still works.</w:t>
      </w:r>
    </w:p>
    <w:p>
      <w:pPr>
        <w:pStyle w:val="ListBullet"/>
      </w:pPr>
      <w:r>
        <w:t>Enter an invalid Registration ID — confirm no payment is confirmed (no matching invoice on A.net).</w:t>
      </w:r>
    </w:p>
    <w:p>
      <w:pPr>
        <w:pStyle w:val="ListBullet"/>
      </w:pPr>
      <w:r>
        <w:rPr>
          <w:b/>
        </w:rPr>
        <w:t xml:space="preserve">Token expiry (optional):  </w:t>
      </w:r>
      <w:r>
        <w:t>Wait 15+ minutes after clicking "Pay with card" without completing the A.net form — confirm clicking "Pay with card" again mints a fresh token.</w:t>
      </w:r>
    </w:p>
    <w:p/>
    <w:p>
      <w:pPr>
        <w:pStyle w:val="Heading1"/>
      </w:pPr>
      <w:r>
        <w:t>Section 6 — Go-Live Switchover</w:t>
      </w:r>
    </w:p>
    <w:p>
      <w:pPr>
        <w:shd w:val="clear" w:color="auto" w:fill="FCE4D6"/>
      </w:pPr>
      <w:r>
        <w:rPr>
          <w:b/>
          <w:color w:val="84310A"/>
        </w:rPr>
        <w:t xml:space="preserve">IMPORTANT  </w:t>
      </w:r>
      <w:r>
        <w:t>Do not switch to production credentials until all Section 5 tests pass. A misconfigured production payment cannot be automatically reversed.</w:t>
      </w:r>
    </w:p>
    <w:p/>
    <w:p>
      <w:pPr>
        <w:pStyle w:val="ListNumber"/>
      </w:pPr>
      <w:r>
        <w:rPr>
          <w:b/>
        </w:rPr>
        <w:t xml:space="preserve">Switch A.net credentials:  </w:t>
      </w:r>
      <w:r>
        <w:t>In both Data Connect pipelines, update the anetLoginId and anetTransKey sensitive parameters to your production Authorize.net values.</w:t>
      </w:r>
    </w:p>
    <w:p>
      <w:pPr>
        <w:pStyle w:val="ListNumber"/>
      </w:pPr>
      <w:r>
        <w:rPr>
          <w:b/>
        </w:rPr>
        <w:t xml:space="preserve">Switch the API endpoint:  </w:t>
      </w:r>
      <w:r>
        <w:t>Update both pipelines to use the production API URL: https://api.authorize.net/xml/v1/request.api</w:t>
      </w:r>
    </w:p>
    <w:p>
      <w:pPr>
        <w:pStyle w:val="ListNumber"/>
      </w:pPr>
      <w:r>
        <w:rPr>
          <w:b/>
        </w:rPr>
        <w:t>Republish both pipelines.</w:t>
      </w:r>
      <w:r/>
    </w:p>
    <w:p>
      <w:pPr>
        <w:pStyle w:val="ListNumber"/>
      </w:pPr>
      <w:r>
        <w:rPr>
          <w:b/>
        </w:rPr>
        <w:t xml:space="preserve">Update the fee schedule:  </w:t>
      </w:r>
      <w:r>
        <w:t>Confirm the real permit fees are in the GetPaymentToken pipeline's Build Token Request segment.</w:t>
      </w:r>
    </w:p>
    <w:p>
      <w:pPr>
        <w:pStyle w:val="ListNumber"/>
      </w:pPr>
      <w:r>
        <w:rPr>
          <w:b/>
        </w:rPr>
        <w:t xml:space="preserve">Verify deep-link URLs:  </w:t>
      </w:r>
      <w:r>
        <w:t>Confirm &lt;tenant&gt; and &lt;account&gt; in the form confirmation message and email template match your production Experience tenant.</w:t>
      </w:r>
    </w:p>
    <w:p>
      <w:pPr>
        <w:pStyle w:val="ListNumber"/>
      </w:pPr>
      <w:r>
        <w:rPr>
          <w:b/>
        </w:rPr>
        <w:t xml:space="preserve">Run one live test transaction:  </w:t>
      </w:r>
      <w:r>
        <w:t>Use a real card for a $0.01 test (if your A.net account supports it) or a known small amount, then void/refund it immediately in the A.net merchant interface.</w:t>
      </w:r>
    </w:p>
    <w:p>
      <w:pPr>
        <w:pStyle w:val="ListNumber"/>
      </w:pPr>
      <w:r>
        <w:rPr>
          <w:b/>
        </w:rPr>
        <w:t xml:space="preserve">Enable the card in Experience:  </w:t>
      </w:r>
      <w:r>
        <w:t>If the card was hidden during testing, make it visible to students.</w:t>
      </w:r>
    </w:p>
    <w:p>
      <w:pPr>
        <w:pStyle w:val="ListNumber"/>
      </w:pPr>
      <w:r>
        <w:rPr>
          <w:b/>
        </w:rPr>
        <w:t xml:space="preserve">Notify stakeholders:  </w:t>
      </w:r>
      <w:r>
        <w:t>Inform Student Financial Services and Public Safety that the system is live and describe how workflow notifications will reach them.</w:t>
      </w:r>
    </w:p>
    <w:p/>
    <w:p>
      <w:pPr>
        <w:pStyle w:val="Heading1"/>
      </w:pPr>
      <w:r>
        <w:t>Section 7 — Ongoing Operations</w:t>
      </w:r>
    </w:p>
    <w:p>
      <w:pPr>
        <w:pStyle w:val="Heading2"/>
      </w:pPr>
      <w:r>
        <w:t>Cash and check payers</w:t>
      </w:r>
    </w:p>
    <w:p>
      <w:r>
        <w:t>Students who pay by cash or check bypass the Experience card entirely. Public Safety completes the workflow task manually in EIP to advance the workflow and trigger the SFS notification.</w:t>
      </w:r>
    </w:p>
    <w:p>
      <w:pPr>
        <w:pStyle w:val="Heading2"/>
      </w:pPr>
      <w:r>
        <w:t>Late payment confirmation (settled transactions)</w:t>
      </w:r>
    </w:p>
    <w:p>
      <w:r>
        <w:t>The VerifyPayment pipeline searches unsettled transactions (pre-nightly batch). For the rare student who tries to verify after the nightly settlement, the automatic poll will not find the transaction. Two options:</w:t>
      </w:r>
    </w:p>
    <w:p>
      <w:pPr>
        <w:pStyle w:val="ListBullet"/>
      </w:pPr>
      <w:r>
        <w:rPr>
          <w:b/>
        </w:rPr>
        <w:t xml:space="preserve">Short term:  </w:t>
      </w:r>
      <w:r>
        <w:t>Public Safety completes the task manually after confirming payment in the A.net merchant interface.</w:t>
      </w:r>
    </w:p>
    <w:p>
      <w:pPr>
        <w:pStyle w:val="ListBullet"/>
      </w:pPr>
      <w:r>
        <w:rPr>
          <w:b/>
        </w:rPr>
        <w:t xml:space="preserve">Long term:  </w:t>
      </w:r>
      <w:r>
        <w:t>Store the transId from the first successful confirmation so VerifyPayment can call getTransactionDetails by ID instead of searching by invoice number.</w:t>
      </w:r>
    </w:p>
    <w:p>
      <w:pPr>
        <w:pStyle w:val="Heading2"/>
      </w:pPr>
      <w:r>
        <w:t>Registration ID length</w:t>
      </w:r>
    </w:p>
    <w:p>
      <w:r>
        <w:t>Authorize.net's invoiceNumber field has a 20-character maximum. If your EIP registration IDs exceed 20 characters, truncate or hash them before passing to the pipeline and apply the same transform in the verify step.</w:t>
      </w:r>
    </w:p>
    <w:p>
      <w:pPr>
        <w:pStyle w:val="Heading2"/>
      </w:pPr>
      <w:r>
        <w:t>Renewing credentials</w:t>
      </w:r>
    </w:p>
    <w:p>
      <w:r>
        <w:t>Authorize.net Transaction Keys should be rotated periodically. Update the anetTransKey sensitive parameter in both Data Connect pipelines and republish. No code or extension changes are needed.</w:t>
      </w:r>
    </w:p>
    <w:p/>
    <w:p>
      <w:pPr>
        <w:pStyle w:val="Heading1"/>
      </w:pPr>
      <w:r>
        <w:t>Appendix A — Repo File Reference</w:t>
      </w:r>
    </w:p>
    <w:tbl>
      <w:tblPr>
        <w:tblStyle w:val="TableGrid"/>
        <w:tblW w:type="auto" w:w="0"/>
        <w:tblLook w:firstColumn="1" w:firstRow="1" w:lastColumn="0" w:lastRow="0" w:noHBand="0" w:noVBand="1" w:val="04A0"/>
      </w:tblPr>
      <w:tblGrid>
        <w:gridCol w:w="4896"/>
        <w:gridCol w:w="4608"/>
      </w:tblGrid>
      <w:tr>
        <w:tc>
          <w:tcPr>
            <w:tcW w:type="dxa" w:w="4320"/>
            <w:shd w:val="clear" w:color="auto" w:fill="D9E1F2"/>
          </w:tcPr>
          <w:p>
            <w:r>
              <w:rPr>
                <w:b/>
              </w:rPr>
              <w:t>File</w:t>
            </w:r>
          </w:p>
        </w:tc>
        <w:tc>
          <w:tcPr>
            <w:tcW w:type="dxa" w:w="4320"/>
            <w:shd w:val="clear" w:color="auto" w:fill="D9E1F2"/>
          </w:tcPr>
          <w:p>
            <w:r>
              <w:rPr>
                <w:b/>
              </w:rPr>
              <w:t>Purpose</w:t>
            </w:r>
          </w:p>
        </w:tc>
      </w:tr>
      <w:tr>
        <w:tc>
          <w:tcPr>
            <w:tcW w:type="dxa" w:w="4320"/>
          </w:tcPr>
          <w:p>
            <w:r>
              <w:rPr>
                <w:rFonts w:ascii="Courier New" w:hAnsi="Courier New"/>
                <w:sz w:val="18"/>
              </w:rPr>
              <w:t>MU_ParkingPermit_GetPaymentToken_v1_0_0.serverless.json</w:t>
            </w:r>
          </w:p>
        </w:tc>
        <w:tc>
          <w:tcPr>
            <w:tcW w:type="dxa" w:w="4320"/>
          </w:tcPr>
          <w:p>
            <w:r>
              <w:t>Import into Data Connect. Mints the Accept Hosted one-time token; resolves fee server-side.</w:t>
            </w:r>
          </w:p>
        </w:tc>
      </w:tr>
      <w:tr>
        <w:tc>
          <w:tcPr>
            <w:tcW w:type="dxa" w:w="4320"/>
          </w:tcPr>
          <w:p>
            <w:r>
              <w:rPr>
                <w:rFonts w:ascii="Courier New" w:hAnsi="Courier New"/>
                <w:sz w:val="18"/>
              </w:rPr>
              <w:t>MU_ParkingPermit_VerifyPayment_v1_0_0.serverless.json</w:t>
            </w:r>
          </w:p>
        </w:tc>
        <w:tc>
          <w:tcPr>
            <w:tcW w:type="dxa" w:w="4320"/>
          </w:tcPr>
          <w:p>
            <w:r>
              <w:t>Import into Data Connect. Confirms payment with Authorize.net; validates status and invoice number.</w:t>
            </w:r>
          </w:p>
        </w:tc>
      </w:tr>
      <w:tr>
        <w:tc>
          <w:tcPr>
            <w:tcW w:type="dxa" w:w="4320"/>
          </w:tcPr>
          <w:p>
            <w:r>
              <w:rPr>
                <w:rFonts w:ascii="Courier New" w:hAnsi="Courier New"/>
                <w:sz w:val="18"/>
              </w:rPr>
              <w:t>extension/extension.js</w:t>
            </w:r>
          </w:p>
        </w:tc>
        <w:tc>
          <w:tcPr>
            <w:tcW w:type="dxa" w:w="4320"/>
          </w:tcPr>
          <w:p>
            <w:r>
              <w:t>Extension manifest. Registers the teaser card and the payment page with pageRoute wiring.</w:t>
            </w:r>
          </w:p>
        </w:tc>
      </w:tr>
      <w:tr>
        <w:tc>
          <w:tcPr>
            <w:tcW w:type="dxa" w:w="4320"/>
          </w:tcPr>
          <w:p>
            <w:r>
              <w:rPr>
                <w:rFonts w:ascii="Courier New" w:hAnsi="Courier New"/>
                <w:sz w:val="18"/>
              </w:rPr>
              <w:t>extension/src/cards/ParkingPermitPayment.jsx</w:t>
            </w:r>
          </w:p>
        </w:tc>
        <w:tc>
          <w:tcPr>
            <w:tcW w:type="dxa" w:w="4320"/>
          </w:tcPr>
          <w:p>
            <w:r>
              <w:t>Teaser card shown in the Experience dashboard. "Pay now" opens the payment page.</w:t>
            </w:r>
          </w:p>
        </w:tc>
      </w:tr>
      <w:tr>
        <w:tc>
          <w:tcPr>
            <w:tcW w:type="dxa" w:w="4320"/>
          </w:tcPr>
          <w:p>
            <w:r>
              <w:rPr>
                <w:rFonts w:ascii="Courier New" w:hAnsi="Courier New"/>
                <w:sz w:val="18"/>
              </w:rPr>
              <w:t>extension/src/page/ParkingPermitPaymentPage.jsx</w:t>
            </w:r>
          </w:p>
        </w:tc>
        <w:tc>
          <w:tcPr>
            <w:tcW w:type="dxa" w:w="4320"/>
          </w:tcPr>
          <w:p>
            <w:r>
              <w:t>Full payment UI. Reads ?reg= and ?permit= from the URL. Polls VerifyPayment every 5 s.</w:t>
            </w:r>
          </w:p>
        </w:tc>
      </w:tr>
      <w:tr>
        <w:tc>
          <w:tcPr>
            <w:tcW w:type="dxa" w:w="4320"/>
          </w:tcPr>
          <w:p>
            <w:r>
              <w:rPr>
                <w:rFonts w:ascii="Courier New" w:hAnsi="Courier New"/>
                <w:sz w:val="18"/>
              </w:rPr>
              <w:t>extension/package.json</w:t>
            </w:r>
          </w:p>
        </w:tc>
        <w:tc>
          <w:tcPr>
            <w:tcW w:type="dxa" w:w="4320"/>
          </w:tcPr>
          <w:p>
            <w:r>
              <w:t>Extension dependencies (placeholders — pin to your SDK version).</w:t>
            </w:r>
          </w:p>
        </w:tc>
      </w:tr>
      <w:tr>
        <w:tc>
          <w:tcPr>
            <w:tcW w:type="dxa" w:w="4320"/>
          </w:tcPr>
          <w:p>
            <w:r>
              <w:rPr>
                <w:rFonts w:ascii="Courier New" w:hAnsi="Courier New"/>
                <w:sz w:val="18"/>
              </w:rPr>
              <w:t>extension/README.md</w:t>
            </w:r>
          </w:p>
        </w:tc>
        <w:tc>
          <w:tcPr>
            <w:tcW w:type="dxa" w:w="4320"/>
          </w:tcPr>
          <w:p>
            <w:r>
              <w:t>Extension-specific notes including the merge-into-template instruction.</w:t>
            </w:r>
          </w:p>
        </w:tc>
      </w:tr>
      <w:tr>
        <w:tc>
          <w:tcPr>
            <w:tcW w:type="dxa" w:w="4320"/>
          </w:tcPr>
          <w:p>
            <w:r>
              <w:rPr>
                <w:rFonts w:ascii="Courier New" w:hAnsi="Courier New"/>
                <w:sz w:val="18"/>
              </w:rPr>
              <w:t>docs/ARCHITECTURE.md</w:t>
            </w:r>
          </w:p>
        </w:tc>
        <w:tc>
          <w:tcPr>
            <w:tcW w:type="dxa" w:w="4320"/>
          </w:tcPr>
          <w:p>
            <w:r>
              <w:t>Architecture reference with sequence diagram and trust boundaries.</w:t>
            </w:r>
          </w:p>
        </w:tc>
      </w:tr>
      <w:tr>
        <w:tc>
          <w:tcPr>
            <w:tcW w:type="dxa" w:w="4320"/>
          </w:tcPr>
          <w:p>
            <w:r>
              <w:rPr>
                <w:rFonts w:ascii="Courier New" w:hAnsi="Courier New"/>
                <w:sz w:val="18"/>
              </w:rPr>
              <w:t>docs/MU_ParkingPermit_PaymentArchitecture.docx</w:t>
            </w:r>
          </w:p>
        </w:tc>
        <w:tc>
          <w:tcPr>
            <w:tcW w:type="dxa" w:w="4320"/>
          </w:tcPr>
          <w:p>
            <w:r>
              <w:t>Architecture document (Word).</w:t>
            </w:r>
          </w:p>
        </w:tc>
      </w:tr>
    </w:tbl>
    <w:p/>
    <w:p>
      <w:pPr>
        <w:pStyle w:val="Heading1"/>
      </w:pPr>
      <w:r>
        <w:t>Appendix B — Troubleshooting</w:t>
      </w:r>
    </w:p>
    <w:tbl>
      <w:tblPr>
        <w:tblStyle w:val="TableGrid"/>
        <w:tblW w:type="auto" w:w="0"/>
        <w:tblLook w:firstColumn="1" w:firstRow="1" w:lastColumn="0" w:lastRow="0" w:noHBand="0" w:noVBand="1" w:val="04A0"/>
      </w:tblPr>
      <w:tblGrid>
        <w:gridCol w:w="3168"/>
        <w:gridCol w:w="6336"/>
      </w:tblGrid>
      <w:tr>
        <w:tc>
          <w:tcPr>
            <w:tcW w:type="dxa" w:w="4320"/>
            <w:shd w:val="clear" w:color="auto" w:fill="D9E1F2"/>
          </w:tcPr>
          <w:p>
            <w:r>
              <w:rPr>
                <w:b/>
              </w:rPr>
              <w:t>Symptom</w:t>
            </w:r>
          </w:p>
        </w:tc>
        <w:tc>
          <w:tcPr>
            <w:tcW w:type="dxa" w:w="4320"/>
            <w:shd w:val="clear" w:color="auto" w:fill="D9E1F2"/>
          </w:tcPr>
          <w:p>
            <w:r>
              <w:rPr>
                <w:b/>
              </w:rPr>
              <w:t>Check</w:t>
            </w:r>
          </w:p>
        </w:tc>
      </w:tr>
      <w:tr>
        <w:tc>
          <w:tcPr>
            <w:tcW w:type="dxa" w:w="4320"/>
          </w:tcPr>
          <w:p>
            <w:r>
              <w:rPr>
                <w:rFonts w:ascii="Courier New" w:hAnsi="Courier New"/>
                <w:sz w:val="18"/>
              </w:rPr>
              <w:t>"Pay with card" spins and returns an error</w:t>
            </w:r>
          </w:p>
        </w:tc>
        <w:tc>
          <w:tcPr>
            <w:tcW w:type="dxa" w:w="4320"/>
          </w:tcPr>
          <w:p>
            <w:r>
              <w:t>Open browser DevTools &gt; Network. The pipeline call should return HTTP 200 with a JSON body. If HTTP 401, the Experience card does not have Execute permission on the token pipeline. If HTTP 500, check the pipeline execution log in Data Connect for the actual error message.</w:t>
            </w:r>
          </w:p>
        </w:tc>
      </w:tr>
      <w:tr>
        <w:tc>
          <w:tcPr>
            <w:tcW w:type="dxa" w:w="4320"/>
          </w:tcPr>
          <w:p>
            <w:r>
              <w:rPr>
                <w:rFonts w:ascii="Courier New" w:hAnsi="Courier New"/>
                <w:sz w:val="18"/>
              </w:rPr>
              <w:t>New tab opens but the A.net form shows "Invalid token"</w:t>
            </w:r>
          </w:p>
        </w:tc>
        <w:tc>
          <w:tcPr>
            <w:tcW w:type="dxa" w:w="4320"/>
          </w:tcPr>
          <w:p>
            <w:r>
              <w:t>The one-time token has expired (15-minute window) or was already used. Go back to the Experience card and click "Pay with card" again to mint a fresh token.</w:t>
            </w:r>
          </w:p>
        </w:tc>
      </w:tr>
      <w:tr>
        <w:tc>
          <w:tcPr>
            <w:tcW w:type="dxa" w:w="4320"/>
          </w:tcPr>
          <w:p>
            <w:r>
              <w:rPr>
                <w:rFonts w:ascii="Courier New" w:hAnsi="Courier New"/>
                <w:sz w:val="18"/>
              </w:rPr>
              <w:t>"Verify payment" button returns "not confirmed" after a completed payment</w:t>
            </w:r>
          </w:p>
        </w:tc>
        <w:tc>
          <w:tcPr>
            <w:tcW w:type="dxa" w:w="4320"/>
          </w:tcPr>
          <w:p>
            <w:r>
              <w:t>Confirm the transaction appears in the A.net sandbox merchant interface. If it does, check that the invoiceNumber on the transaction matches the registrationId exactly. If the nightly batch already ran, see Section 7 for the settled-transaction limitation.</w:t>
            </w:r>
          </w:p>
        </w:tc>
      </w:tr>
      <w:tr>
        <w:tc>
          <w:tcPr>
            <w:tcW w:type="dxa" w:w="4320"/>
          </w:tcPr>
          <w:p>
            <w:r>
              <w:rPr>
                <w:rFonts w:ascii="Courier New" w:hAnsi="Courier New"/>
                <w:sz w:val="18"/>
              </w:rPr>
              <w:t>Experience card is blank or shows an error on load</w:t>
            </w:r>
          </w:p>
        </w:tc>
        <w:tc>
          <w:tcPr>
            <w:tcW w:type="dxa" w:w="4320"/>
          </w:tcPr>
          <w:p>
            <w:r>
              <w:t>Confirm the tokenPipeline and verifyPipeline card configuration values are set to the correct API names (Section 3.5).</w:t>
            </w:r>
          </w:p>
        </w:tc>
      </w:tr>
      <w:tr>
        <w:tc>
          <w:tcPr>
            <w:tcW w:type="dxa" w:w="4320"/>
          </w:tcPr>
          <w:p>
            <w:r>
              <w:rPr>
                <w:rFonts w:ascii="Courier New" w:hAnsi="Courier New"/>
                <w:sz w:val="18"/>
              </w:rPr>
              <w:t>Student receives no email</w:t>
            </w:r>
          </w:p>
        </w:tc>
        <w:tc>
          <w:tcPr>
            <w:tcW w:type="dxa" w:w="4320"/>
          </w:tcPr>
          <w:p>
            <w:r>
              <w:t>In the EIP workflow designer, check the Send Email action. Confirm the To field resolves to the student's email address and that SMTP is configured in EIP settings.</w:t>
            </w:r>
          </w:p>
        </w:tc>
      </w:tr>
      <w:tr>
        <w:tc>
          <w:tcPr>
            <w:tcW w:type="dxa" w:w="4320"/>
          </w:tcPr>
          <w:p>
            <w:r>
              <w:rPr>
                <w:rFonts w:ascii="Courier New" w:hAnsi="Courier New"/>
                <w:sz w:val="18"/>
              </w:rPr>
              <w:t>Deep link from email opens the Experience login page, not the payment page</w:t>
            </w:r>
          </w:p>
        </w:tc>
        <w:tc>
          <w:tcPr>
            <w:tcW w:type="dxa" w:w="4320"/>
          </w:tcPr>
          <w:p>
            <w:r>
              <w:t>This is expected for unauthenticated users. Once the student logs in, Experience should redirect to the payment page. If it redirects to the home dashboard instead, confirm the page URL is correct (publisher and extension name are case-sensitive).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