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 Student Vehicle Permit — Payment Architecture</w:t>
      </w:r>
    </w:p>
    <w:p>
      <w:pPr>
        <w:jc w:val="center"/>
      </w:pPr>
      <w:r>
        <w:rPr>
          <w:i/>
        </w:rPr>
        <w:t>Methodist University  |  Ellucian Platform Implementation</w:t>
      </w:r>
    </w:p>
    <w:p>
      <w:pPr>
        <w:jc w:val="center"/>
      </w:pPr>
      <w:r>
        <w:t>Generated June 10, 2026</w:t>
      </w:r>
    </w:p>
    <w:p/>
    <w:p>
      <w:pPr>
        <w:pStyle w:val="Heading1"/>
      </w:pPr>
      <w:r>
        <w:t>Overview</w:t>
      </w:r>
    </w:p>
    <w:p>
      <w:r>
        <w:rPr>
          <w:b w:val="0"/>
          <w:i w:val="0"/>
        </w:rPr>
        <w:t>This document describes the end-to-end architecture for collecting student vehicle parking permit fees online at Methodist University using the Ellucian ecosystem. No self-hosted middleware is required. Card data is entered exclusively on Authorize.net's hosted payment page (PCI SAQ-A).</w:t>
      </w:r>
    </w:p>
    <w:p>
      <w:r>
        <w:rPr>
          <w:b w:val="0"/>
          <w:i w:val="0"/>
        </w:rPr>
        <w:t>Platform components used:</w:t>
      </w:r>
    </w:p>
    <w:p>
      <w:pPr>
        <w:pStyle w:val="ListBullet"/>
      </w:pPr>
      <w:r>
        <w:t>Ellucian Experience — extension page + teaser card</w:t>
      </w:r>
    </w:p>
    <w:p>
      <w:pPr>
        <w:pStyle w:val="ListBullet"/>
      </w:pPr>
      <w:r>
        <w:t>EIP / Intelligent Processes — form, workflow, tasks, email notifications</w:t>
      </w:r>
    </w:p>
    <w:p>
      <w:pPr>
        <w:pStyle w:val="ListBullet"/>
      </w:pPr>
      <w:r>
        <w:t>Data Connect Serverless APIs — server-side Authorize.net calls</w:t>
      </w:r>
    </w:p>
    <w:p>
      <w:pPr>
        <w:pStyle w:val="ListBullet"/>
      </w:pPr>
      <w:r>
        <w:t>Authorize.net Accept Hosted — PCI-compliant hosted payment page</w:t>
      </w:r>
    </w:p>
    <w:p/>
    <w:p>
      <w:pPr>
        <w:pStyle w:val="Heading1"/>
      </w:pPr>
      <w:r>
        <w:t>Student Entry Points</w:t>
      </w:r>
    </w:p>
    <w:p>
      <w:r>
        <w:rPr>
          <w:b w:val="0"/>
          <w:i w:val="0"/>
        </w:rPr>
        <w:t>Three paths all lead to the same Experience payment page. The deep-link URL carries ?reg=&lt;registrationId&gt;&amp;permit=&lt;permitType&gt; so the form is pre-filled and the student lands directly on the "Pay with card"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Pre-fills form?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Form confirmation screen</w:t>
            </w:r>
          </w:p>
        </w:tc>
        <w:tc>
          <w:tcPr>
            <w:tcW w:type="dxa" w:w="2160"/>
          </w:tcPr>
          <w:p>
            <w:r>
              <w:t>Workflow completion message contains the deep link</w:t>
            </w:r>
          </w:p>
        </w:tc>
        <w:tc>
          <w:tcPr>
            <w:tcW w:type="dxa" w:w="2160"/>
          </w:tcPr>
          <w:p>
            <w:r>
              <w:t>Yes — ?reg= &amp; &amp;permit=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Workflow email</w:t>
            </w:r>
          </w:p>
        </w:tc>
        <w:tc>
          <w:tcPr>
            <w:tcW w:type="dxa" w:w="2160"/>
          </w:tcPr>
          <w:p>
            <w:r>
              <w:t>Native EIP email action; body contains the same deep link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Experience task + notification</w:t>
            </w:r>
          </w:p>
        </w:tc>
        <w:tc>
          <w:tcPr>
            <w:tcW w:type="dxa" w:w="2160"/>
          </w:tcPr>
          <w:p>
            <w:r>
              <w:t>EIP task links to the ParkingPermitPaymentCard teaser; "Pay now" opens the page</w:t>
            </w:r>
          </w:p>
        </w:tc>
        <w:tc>
          <w:tcPr>
            <w:tcW w:type="dxa" w:w="2160"/>
          </w:tcPr>
          <w:p>
            <w:r>
              <w:t>No — fields are editable</w:t>
            </w:r>
          </w:p>
        </w:tc>
      </w:tr>
    </w:tbl>
    <w:p/>
    <w:p>
      <w:r>
        <w:rPr>
          <w:b/>
          <w:i w:val="0"/>
        </w:rPr>
        <w:t>Deep-link URL shape (fill in the bracketed parts):</w:t>
      </w:r>
    </w:p>
    <w:p>
      <w:r>
        <w:rPr>
          <w:rFonts w:ascii="Courier New" w:hAnsi="Courier New"/>
          <w:sz w:val="18"/>
        </w:rPr>
        <w:t>https://experience.elluciancloud.com/&lt;tenant&gt;/page/&lt;account&gt;/Methodist University/MU Parking Permit Payment/ParkingPermitPaymentPage/?reg=REG-12345&amp;permit=full-year</w:t>
      </w:r>
    </w:p>
    <w:p/>
    <w:p>
      <w:pPr>
        <w:pStyle w:val="Heading1"/>
      </w:pPr>
      <w:r>
        <w:t>Payment Flow (Step by 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3024"/>
        <w:gridCol w:w="576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Student submits vehicle registration</w:t>
            </w:r>
          </w:p>
        </w:tc>
        <w:tc>
          <w:tcPr>
            <w:tcW w:type="dxa" w:w="5760"/>
          </w:tcPr>
          <w:p>
            <w:r>
              <w:t>EIP Form → triggers workflow.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Workflow sends entry-point messages</w:t>
            </w:r>
          </w:p>
        </w:tc>
        <w:tc>
          <w:tcPr>
            <w:tcW w:type="dxa" w:w="5760"/>
          </w:tcPr>
          <w:p>
            <w:r>
              <w:t>Confirmation screen shows deep link (entry point 1). Email action fires with same deep link (entry point 2). Task assigned to student in Experience (entry point 3).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Student opens the Experience payment page</w:t>
            </w:r>
          </w:p>
        </w:tc>
        <w:tc>
          <w:tcPr>
            <w:tcW w:type="dxa" w:w="5760"/>
          </w:tcPr>
          <w:p>
            <w:r>
              <w:t>?reg= and ?permit= params pre-fill the Registration ID and permit type.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Student clicks "Pay with card"</w:t>
            </w:r>
          </w:p>
        </w:tc>
        <w:tc>
          <w:tcPr>
            <w:tcW w:type="dxa" w:w="5760"/>
          </w:tcPr>
          <w:p>
            <w:r>
              <w:t>Card calls the GetPaymentToken serverless API via authenticatedEthosFetch. Fee is looked up server-side; browser never sees the fee schedule.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GetPaymentToken calls Authorize.net</w:t>
            </w:r>
          </w:p>
        </w:tc>
        <w:tc>
          <w:tcPr>
            <w:tcW w:type="dxa" w:w="5760"/>
          </w:tcPr>
          <w:p>
            <w:r>
              <w:t>getHostedPaymentPageRequest — one-time form token (valid 15 min). invoiceNumber is set to the registrationId for end-to-end correlation.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Hosted payment page opens in a new tab</w:t>
            </w:r>
          </w:p>
        </w:tc>
        <w:tc>
          <w:tcPr>
            <w:tcW w:type="dxa" w:w="5760"/>
          </w:tcPr>
          <w:p>
            <w:r>
              <w:t>Token is POSTed to Authorize.net's formUrl. Student enters card details on Authorize.net's page (PCI SAQ-A).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Experience page polls for confirmation</w:t>
            </w:r>
          </w:p>
        </w:tc>
        <w:tc>
          <w:tcPr>
            <w:tcW w:type="dxa" w:w="5760"/>
          </w:tcPr>
          <w:p>
            <w:r>
              <w:t>Every 5 seconds (up to ~2 minutes) the page calls the VerifyPayment serverless API. A "Verify payment" button covers manual confirmation for late arrivals.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VerifyPayment re-checks Authorize.net</w:t>
            </w:r>
          </w:p>
        </w:tc>
        <w:tc>
          <w:tcPr>
            <w:tcW w:type="dxa" w:w="5760"/>
          </w:tcPr>
          <w:p>
            <w:r>
              <w:t>Uses getUnsettledTransactionListRequest (by invoice number) or getTransactionDetailsRequest (by transId). Validates: responseCode=1, status=capturedPendingSettlement or settledSuccessfully, invoiceNumber matches registrationId.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Payment confirmed</w:t>
            </w:r>
          </w:p>
        </w:tc>
        <w:tc>
          <w:tcPr>
            <w:tcW w:type="dxa" w:w="5760"/>
          </w:tcPr>
          <w:p>
            <w:r>
              <w:t>Page shows confirmation. Calls EIP workflow to complete the external task, passing transId, invoiceNumber, and amount.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Workflow notifies downstream</w:t>
            </w:r>
          </w:p>
        </w:tc>
        <w:tc>
          <w:tcPr>
            <w:tcW w:type="dxa" w:w="5760"/>
          </w:tcPr>
          <w:p>
            <w:r>
              <w:t>Email/notification to Student Financial Services (invoice # + amount). New task assigned to Public Safety to issue/record the permit.</w:t>
            </w:r>
          </w:p>
        </w:tc>
      </w:tr>
    </w:tbl>
    <w:p/>
    <w:p>
      <w:pPr>
        <w:pStyle w:val="Heading1"/>
      </w:pPr>
      <w:r>
        <w:t>Trust Boundaries and Security</w:t>
      </w:r>
    </w:p>
    <w:p>
      <w:r>
        <w:rPr>
          <w:b/>
        </w:rPr>
        <w:t xml:space="preserve">Browser is never trusted: </w:t>
      </w:r>
      <w:r>
        <w:t>The permit fee comes from the token pipeline's server-side schedule. Payment confirmation comes only from the VerifyPayment pipeline re-checking Authorize.net (responseCode=1 AND status captured/settled AND invoiceNumber matches registrationId). The browser cannot short-circuit either check.</w:t>
      </w:r>
    </w:p>
    <w:p>
      <w:r>
        <w:rPr>
          <w:b/>
        </w:rPr>
        <w:t xml:space="preserve">Secrets never leave Data Connect: </w:t>
      </w:r>
      <w:r>
        <w:t>The Authorize.net Login ID and Transaction Key are stored as sensitive persistent pipeline parameters. They are never returned to the browser.</w:t>
      </w:r>
    </w:p>
    <w:p>
      <w:r>
        <w:rPr>
          <w:b/>
        </w:rPr>
        <w:t xml:space="preserve">User token authentication: </w:t>
      </w:r>
      <w:r>
        <w:t>Both serverless pipelines use authType: "oauth" (User token). Experience authenticates the student; the pipeline receives context['user.id'] (Ethos person GUID) for ownership verification.</w:t>
      </w:r>
    </w:p>
    <w:p>
      <w:r>
        <w:rPr>
          <w:b/>
        </w:rPr>
        <w:t xml:space="preserve">Deep-link params are display-only: </w:t>
      </w:r>
      <w:r>
        <w:t>?reg= pre-fills the Registration ID field but the server validates it against the Authorize.net invoice number. A tampered reg param produces no matching transaction and the payment is not confirmed.</w:t>
      </w:r>
    </w:p>
    <w:p>
      <w:r>
        <w:rPr>
          <w:b/>
        </w:rPr>
        <w:t xml:space="preserve">PCI scope: SAQ-A: </w:t>
      </w:r>
      <w:r>
        <w:t>Card data is entered only on Authorize.net's hosted page. Methodist University systems never see, transmit, or store card numbers.</w:t>
      </w:r>
    </w:p>
    <w:p/>
    <w:p>
      <w:pPr>
        <w:pStyle w:val="Heading1"/>
      </w:pPr>
      <w:r>
        <w:t>Repository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MU_ParkingPermit_GetPaymentToken_v1_0_0.serverless.json</w:t>
            </w:r>
          </w:p>
        </w:tc>
        <w:tc>
          <w:tcPr>
            <w:tcW w:type="dxa" w:w="4320"/>
          </w:tcPr>
          <w:p>
            <w:r>
              <w:t>Data Connect serverless API — mints Authorize.net Accept Hosted token. Performs server-side fee lookup; sets invoiceNumber = registrationId.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MU_ParkingPermit_VerifyPayment_v1_0_0.serverless.json</w:t>
            </w:r>
          </w:p>
        </w:tc>
        <w:tc>
          <w:tcPr>
            <w:tcW w:type="dxa" w:w="4320"/>
          </w:tcPr>
          <w:p>
            <w:r>
              <w:t>Data Connect serverless API — authoritative payment confirmation. Re-checks Authorize.net; validates status, amount, and invoice number.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extension/src/cards/ParkingPermitPayment.jsx</w:t>
            </w:r>
          </w:p>
        </w:tc>
        <w:tc>
          <w:tcPr>
            <w:tcW w:type="dxa" w:w="4320"/>
          </w:tcPr>
          <w:p>
            <w:r>
              <w:t>Experience teaser card shown in the dashboard / task list. "Pay now" button opens the payment page.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extension/src/page/ParkingPermitPaymentPage.jsx</w:t>
            </w:r>
          </w:p>
        </w:tc>
        <w:tc>
          <w:tcPr>
            <w:tcW w:type="dxa" w:w="4320"/>
          </w:tcPr>
          <w:p>
            <w:r>
              <w:t>Experience page — full payment UI. Reads ?reg= and ?permit= from URL. Polls VerifyPayment every 5 s; "Verify payment" button for manual check.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extension/extension.js</w:t>
            </w:r>
          </w:p>
        </w:tc>
        <w:tc>
          <w:tcPr>
            <w:tcW w:type="dxa" w:w="4320"/>
          </w:tcPr>
          <w:p>
            <w:r>
              <w:t>Extension manifest. Registers the card and the page; wires pageRoute.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server.js / accept-hosted.js / eip-client.js / public/</w:t>
            </w:r>
          </w:p>
        </w:tc>
        <w:tc>
          <w:tcPr>
            <w:tcW w:type="dxa" w:w="4320"/>
          </w:tcPr>
          <w:p>
            <w:r>
              <w:t>Earlier standalone Node.js implementation — superseded by Data Connect, kept for reference.</w:t>
            </w:r>
          </w:p>
        </w:tc>
      </w:tr>
    </w:tbl>
    <w:p/>
    <w:p>
      <w:pPr>
        <w:pStyle w:val="Heading1"/>
      </w:pPr>
      <w:r>
        <w:t>EIP Workflow Configuration Notes</w:t>
      </w:r>
    </w:p>
    <w:p>
      <w:pPr>
        <w:pStyle w:val="Heading2"/>
      </w:pPr>
      <w:r>
        <w:t>Entry point 1 — Form confirmation message</w:t>
      </w:r>
    </w:p>
    <w:p>
      <w:r>
        <w:rPr>
          <w:b w:val="0"/>
          <w:i w:val="0"/>
        </w:rPr>
        <w:t>In the EIP Form designer, add a completion message that includes the deep link. Use workflow variable tokens for registrationId and permitType:</w:t>
      </w:r>
    </w:p>
    <w:p>
      <w:r>
        <w:rPr>
          <w:rFonts w:ascii="Courier New" w:hAnsi="Courier New"/>
          <w:sz w:val="18"/>
        </w:rPr>
        <w:t>Your registration has been submitted. Pay your permit fee here:</w:t>
        <w:br/>
        <w:t>https://experience.elluciancloud.com/&lt;tenant&gt;/page/&lt;account&gt;/Methodist University/MU Parking Permit Payment/ParkingPermitPaymentPage/?reg={{registrationId}}&amp;permit={{permitType}}</w:t>
      </w:r>
    </w:p>
    <w:p>
      <w:pPr>
        <w:pStyle w:val="Heading2"/>
      </w:pPr>
      <w:r>
        <w:t>Entry point 2 — Workflow email action</w:t>
      </w:r>
    </w:p>
    <w:p>
      <w:r>
        <w:rPr>
          <w:b w:val="0"/>
          <w:i w:val="0"/>
        </w:rPr>
        <w:t>Add a native Email action to the workflow immediately after form submission.</w:t>
      </w:r>
    </w:p>
    <w:p>
      <w:pPr>
        <w:pStyle w:val="ListBullet"/>
      </w:pPr>
      <w:r>
        <w:t>To: student email (from context['user.email'] or a form field)</w:t>
      </w:r>
    </w:p>
    <w:p>
      <w:pPr>
        <w:pStyle w:val="ListBullet"/>
      </w:pPr>
      <w:r>
        <w:t>Subject: "Action required: Pay your MU parking permit fee"</w:t>
      </w:r>
    </w:p>
    <w:p>
      <w:pPr>
        <w:pStyle w:val="ListBullet"/>
      </w:pPr>
      <w:r>
        <w:t>Body: Include the same deep link with ?reg= and &amp;permit= variable tokens.</w:t>
      </w:r>
    </w:p>
    <w:p>
      <w:pPr>
        <w:pStyle w:val="ListBullet"/>
      </w:pPr>
      <w:r>
        <w:t>No custom code required — this is a native EIP workflow action.</w:t>
      </w:r>
    </w:p>
    <w:p>
      <w:pPr>
        <w:pStyle w:val="Heading2"/>
      </w:pPr>
      <w:r>
        <w:t>Entry point 3 — Experience task and notification</w:t>
      </w:r>
    </w:p>
    <w:p>
      <w:r>
        <w:rPr>
          <w:b w:val="0"/>
          <w:i w:val="0"/>
        </w:rPr>
        <w:t>The EIP workflow assigns an external task to the student. Experience surfaces this as both a notification (bell icon) and a task card in the dashboard. The card's pageRoute wires the "Pay now" button to the payment page. This entry point does not carry deep-link params, so the student types their Registration ID if it is not already known.</w:t>
      </w:r>
    </w:p>
    <w:p/>
    <w:p>
      <w:pPr>
        <w:pStyle w:val="Heading1"/>
      </w:pPr>
      <w:r>
        <w:t>Go-Live Checklist</w:t>
      </w:r>
    </w:p>
    <w:p>
      <w:r>
        <w:t>1. Publish both serverless pipelines; note the API names.</w:t>
      </w:r>
    </w:p>
    <w:p>
      <w:r>
        <w:t>2. In Experience Setup &gt; Permissions, grant the student role Execute on both pipelines.</w:t>
      </w:r>
    </w:p>
    <w:p>
      <w:r>
        <w:t>3. Build and upload the extension; enable the card; set tokenPipeline and verifyPipeline config values.</w:t>
      </w:r>
    </w:p>
    <w:p>
      <w:r>
        <w:t>4. Fill in the real fee schedule in the GetPaymentToken pipeline's "Build Token Request" segment.</w:t>
      </w:r>
    </w:p>
    <w:p>
      <w:r>
        <w:t>5. Replace &lt;tenant&gt; and &lt;account&gt; in the deep-link URLs in the form confirmation message and email template.</w:t>
      </w:r>
    </w:p>
    <w:p>
      <w:r>
        <w:t>6. Configure the EIP workflow email action (entry point 2) with the deep link and student email field.</w:t>
      </w:r>
    </w:p>
    <w:p>
      <w:r>
        <w:t>7. Configure the EIP workflow external task completion call (step 9) in the Workflow designer.</w:t>
      </w:r>
    </w:p>
    <w:p>
      <w:r>
        <w:t>8. Test end-to-end in the Authorize.net sandbox environment before switching to production credentials.</w:t>
      </w:r>
    </w:p>
    <w:p>
      <w:r>
        <w:t>9. Provide a staff lane (manual task completion) in Public Safety for cash/check payers and payment-search stragglers.</w:t>
      </w:r>
    </w:p>
    <w:p/>
    <w:p>
      <w:pPr>
        <w:pStyle w:val="Heading1"/>
      </w:pPr>
      <w:r>
        <w:t>Known Limits</w:t>
      </w:r>
    </w:p>
    <w:p>
      <w:r>
        <w:rPr>
          <w:b/>
        </w:rPr>
        <w:t xml:space="preserve">Unsettled-only search: </w:t>
      </w:r>
      <w:r>
        <w:t>The VerifyPayment pipeline's search path only sees transactions before the nightly settlement batch. Students who verify the same day are covered by the normal case. Provide a staff manual-completion lane for stragglers, or cache the transId from the first successful confirmation.</w:t>
      </w:r>
    </w:p>
    <w:p>
      <w:r>
        <w:rPr>
          <w:b/>
        </w:rPr>
        <w:t xml:space="preserve">Registration ID length: </w:t>
      </w:r>
      <w:r>
        <w:t>Authorize.net's invoiceNumber field has a 20-character maximum. Ensure registrationId values do not exceed this limit.</w:t>
      </w:r>
    </w:p>
    <w:p>
      <w:r>
        <w:rPr>
          <w:b/>
        </w:rPr>
        <w:t xml:space="preserve">15-minute token window: </w:t>
      </w:r>
      <w:r>
        <w:t>The Accept Hosted one-time token expires after 15 minutes. If the student delays past that point they must click "Pay with card" again to mint a new token.</w:t>
      </w:r>
    </w:p>
    <w:p>
      <w:r>
        <w:rPr>
          <w:b/>
        </w:rPr>
        <w:t xml:space="preserve">Deep-link URL customization: </w:t>
      </w:r>
      <w:r>
        <w:t>The URL contains the extension name and publisher verbatim. If the extension is renamed in extension.js, the deep-link URLs in the form message and email template must be updated to 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